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32BD" w:rsidRDefault="00E443D1" w:rsidP="00B153C7">
      <w:pPr>
        <w:pStyle w:val="BodyA"/>
        <w:jc w:val="both"/>
        <w:rPr>
          <w:rFonts w:hint="eastAsia"/>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E443D1" w:rsidRDefault="00C948C7" w:rsidP="00C948C7">
      <w:pPr>
        <w:pStyle w:val="BodyA"/>
        <w:jc w:val="both"/>
        <w:rPr>
          <w:rFonts w:hint="eastAsia"/>
          <w:b/>
          <w:bCs/>
          <w:sz w:val="24"/>
          <w:szCs w:val="24"/>
        </w:rPr>
      </w:pPr>
      <w:r>
        <w:rPr>
          <w:noProof/>
        </w:rPr>
        <w:drawing>
          <wp:inline distT="0" distB="0" distL="0" distR="0" wp14:anchorId="5C3408D2" wp14:editId="53435A32">
            <wp:extent cx="1047750" cy="10880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088048"/>
                    </a:xfrm>
                    <a:prstGeom prst="rect">
                      <a:avLst/>
                    </a:prstGeom>
                    <a:noFill/>
                    <a:ln>
                      <a:noFill/>
                    </a:ln>
                  </pic:spPr>
                </pic:pic>
              </a:graphicData>
            </a:graphic>
          </wp:inline>
        </w:drawing>
      </w:r>
      <w:r>
        <w:rPr>
          <w:b/>
          <w:bCs/>
          <w:noProof/>
          <w:sz w:val="24"/>
          <w:szCs w:val="24"/>
        </w:rPr>
        <w:t xml:space="preserve">                                                                      </w:t>
      </w:r>
      <w:r>
        <w:rPr>
          <w:rFonts w:hint="eastAsia"/>
          <w:b/>
          <w:bCs/>
          <w:noProof/>
          <w:sz w:val="24"/>
          <w:szCs w:val="24"/>
        </w:rPr>
        <w:drawing>
          <wp:inline distT="0" distB="0" distL="0" distR="0" wp14:anchorId="2FA4E9B1" wp14:editId="64A5FD0C">
            <wp:extent cx="1855470" cy="11036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5470" cy="1103630"/>
                    </a:xfrm>
                    <a:prstGeom prst="rect">
                      <a:avLst/>
                    </a:prstGeom>
                    <a:noFill/>
                  </pic:spPr>
                </pic:pic>
              </a:graphicData>
            </a:graphic>
          </wp:inline>
        </w:drawing>
      </w:r>
    </w:p>
    <w:p w:rsidR="00C948C7" w:rsidRDefault="00C948C7" w:rsidP="00B153C7">
      <w:pPr>
        <w:pStyle w:val="BodyA"/>
        <w:jc w:val="both"/>
        <w:rPr>
          <w:rFonts w:hint="eastAsia"/>
          <w:b/>
          <w:bCs/>
          <w:sz w:val="24"/>
          <w:szCs w:val="24"/>
        </w:rPr>
      </w:pPr>
      <w:r>
        <w:rPr>
          <w:b/>
          <w:bCs/>
          <w:sz w:val="24"/>
          <w:szCs w:val="24"/>
        </w:rPr>
        <w:t xml:space="preserve"> </w:t>
      </w:r>
      <w:r>
        <w:rPr>
          <w:b/>
          <w:bCs/>
          <w:sz w:val="24"/>
          <w:szCs w:val="24"/>
        </w:rPr>
        <w:tab/>
      </w:r>
      <w:r>
        <w:rPr>
          <w:b/>
          <w:bCs/>
          <w:sz w:val="24"/>
          <w:szCs w:val="24"/>
        </w:rPr>
        <w:tab/>
      </w:r>
      <w:r>
        <w:rPr>
          <w:b/>
          <w:bCs/>
          <w:sz w:val="24"/>
          <w:szCs w:val="24"/>
        </w:rPr>
        <w:tab/>
      </w:r>
      <w:r>
        <w:rPr>
          <w:b/>
          <w:bCs/>
          <w:sz w:val="24"/>
          <w:szCs w:val="24"/>
        </w:rPr>
        <w:tab/>
      </w:r>
    </w:p>
    <w:p w:rsidR="00F35A2F" w:rsidRDefault="00760AFA" w:rsidP="00A503EC">
      <w:pPr>
        <w:pStyle w:val="BodyA"/>
        <w:jc w:val="both"/>
        <w:rPr>
          <w:rFonts w:hint="eastAsia"/>
          <w:b/>
          <w:bCs/>
          <w:sz w:val="24"/>
          <w:szCs w:val="24"/>
        </w:rPr>
      </w:pPr>
      <w:r w:rsidRPr="00A503EC">
        <w:rPr>
          <w:b/>
          <w:bCs/>
          <w:sz w:val="24"/>
          <w:szCs w:val="24"/>
          <w:bdr w:val="none" w:sz="0" w:space="0" w:color="auto"/>
          <w:lang w:val="fr-FR"/>
        </w:rPr>
        <w:t xml:space="preserve">Note conceptuelle pour le webinaire conjoint du </w:t>
      </w:r>
      <w:r w:rsidR="00A503EC" w:rsidRPr="00A503EC">
        <w:rPr>
          <w:b/>
          <w:bCs/>
          <w:sz w:val="24"/>
          <w:szCs w:val="24"/>
          <w:bdr w:val="none" w:sz="0" w:space="0" w:color="auto"/>
          <w:lang w:val="fr-FR"/>
        </w:rPr>
        <w:t>G</w:t>
      </w:r>
      <w:r w:rsidRPr="00A503EC">
        <w:rPr>
          <w:b/>
          <w:bCs/>
          <w:sz w:val="24"/>
          <w:szCs w:val="24"/>
          <w:bdr w:val="none" w:sz="0" w:space="0" w:color="auto"/>
          <w:lang w:val="fr-FR"/>
        </w:rPr>
        <w:t xml:space="preserve">roupe de travail de la Commission africaine sur les droits économiques, sociaux et culturels et du Solidarity Centre sur le travail dans l'économie informelle et le droit au travail en Afrique </w:t>
      </w:r>
      <w:r w:rsidR="00F35A2F" w:rsidRPr="00E63E1E">
        <w:rPr>
          <w:b/>
          <w:bCs/>
          <w:sz w:val="24"/>
          <w:szCs w:val="24"/>
        </w:rPr>
        <w:t xml:space="preserve"> </w:t>
      </w:r>
    </w:p>
    <w:p w:rsidR="00F35A2F" w:rsidRDefault="00F35A2F" w:rsidP="00B153C7">
      <w:pPr>
        <w:pStyle w:val="BodyA"/>
        <w:jc w:val="both"/>
        <w:rPr>
          <w:rFonts w:hint="eastAsia"/>
          <w:b/>
          <w:bCs/>
          <w:sz w:val="24"/>
          <w:szCs w:val="24"/>
        </w:rPr>
      </w:pPr>
    </w:p>
    <w:p w:rsidR="00E74327" w:rsidRPr="00E63E1E" w:rsidRDefault="00A503EC" w:rsidP="00A503EC">
      <w:pPr>
        <w:pStyle w:val="BodyA"/>
        <w:jc w:val="both"/>
        <w:rPr>
          <w:rFonts w:hint="eastAsia"/>
          <w:b/>
          <w:bCs/>
          <w:sz w:val="24"/>
          <w:szCs w:val="24"/>
        </w:rPr>
      </w:pPr>
      <w:r w:rsidRPr="00A503EC">
        <w:rPr>
          <w:rFonts w:hint="eastAsia"/>
          <w:b/>
          <w:bCs/>
          <w:sz w:val="24"/>
          <w:szCs w:val="24"/>
          <w:bdr w:val="none" w:sz="0" w:space="0" w:color="auto"/>
          <w:lang w:val="fr-FR"/>
        </w:rPr>
        <w:t>L</w:t>
      </w:r>
      <w:r w:rsidRPr="00A503EC">
        <w:rPr>
          <w:b/>
          <w:bCs/>
          <w:sz w:val="24"/>
          <w:szCs w:val="24"/>
          <w:bdr w:val="none" w:sz="0" w:space="0" w:color="auto"/>
          <w:lang w:val="fr-FR"/>
        </w:rPr>
        <w:t>e travail dans l’économie informelle et le droit au travail en Afrique</w:t>
      </w:r>
    </w:p>
    <w:p w:rsidR="00E74327" w:rsidRDefault="00E74327" w:rsidP="00B153C7">
      <w:pPr>
        <w:pStyle w:val="BodyA"/>
        <w:jc w:val="both"/>
        <w:rPr>
          <w:rFonts w:hint="eastAsia"/>
          <w:sz w:val="24"/>
          <w:szCs w:val="24"/>
        </w:rPr>
      </w:pPr>
    </w:p>
    <w:p w:rsidR="00E74327" w:rsidRPr="00E63E1E" w:rsidRDefault="00A503EC" w:rsidP="00A503EC">
      <w:pPr>
        <w:pStyle w:val="BodyA"/>
        <w:numPr>
          <w:ilvl w:val="0"/>
          <w:numId w:val="7"/>
        </w:numPr>
        <w:jc w:val="both"/>
        <w:rPr>
          <w:rFonts w:hint="eastAsia"/>
          <w:b/>
          <w:bCs/>
          <w:sz w:val="24"/>
          <w:szCs w:val="24"/>
        </w:rPr>
      </w:pPr>
      <w:r w:rsidRPr="00A503EC">
        <w:rPr>
          <w:rFonts w:hint="eastAsia"/>
          <w:b/>
          <w:bCs/>
          <w:sz w:val="24"/>
          <w:szCs w:val="24"/>
          <w:bdr w:val="none" w:sz="0" w:space="0" w:color="auto"/>
          <w:lang w:val="fr-FR"/>
        </w:rPr>
        <w:t>Contexte :</w:t>
      </w:r>
    </w:p>
    <w:p w:rsidR="00E74327" w:rsidRDefault="00E74327" w:rsidP="00B153C7">
      <w:pPr>
        <w:pStyle w:val="BodyA"/>
        <w:jc w:val="both"/>
        <w:rPr>
          <w:rFonts w:hint="eastAsia"/>
          <w:b/>
          <w:bCs/>
        </w:rPr>
      </w:pPr>
    </w:p>
    <w:p w:rsidR="00476FF7" w:rsidRDefault="00A503EC" w:rsidP="00A503EC">
      <w:pPr>
        <w:pStyle w:val="BodyA"/>
        <w:numPr>
          <w:ilvl w:val="0"/>
          <w:numId w:val="5"/>
        </w:numPr>
        <w:ind w:left="284" w:hanging="284"/>
        <w:jc w:val="both"/>
        <w:rPr>
          <w:rFonts w:hint="eastAsia"/>
          <w:bdr w:val="none" w:sz="0" w:space="0" w:color="auto"/>
          <w:lang w:val="fr-FR"/>
        </w:rPr>
      </w:pPr>
      <w:r w:rsidRPr="00A503EC">
        <w:rPr>
          <w:bdr w:val="none" w:sz="0" w:space="0" w:color="auto"/>
          <w:lang w:val="fr-FR"/>
        </w:rPr>
        <w:t xml:space="preserve">L'Organisation internationale du travail estime que près de 83 % des emplois en Afrique et 85 % en Afrique subsaharienne sont des emplois informels non rémunérés, qui échappent à la protection du droit du travail et se caractérisent par l'absence de protection sociale ou de droit à des congés payés.  </w:t>
      </w:r>
      <w:r w:rsidR="004C4A1E" w:rsidRPr="00E63E1E">
        <w:rPr>
          <w:rFonts w:eastAsia="Helvetica Neue" w:cs="Helvetica Neue"/>
          <w:vertAlign w:val="superscript"/>
        </w:rPr>
        <w:footnoteReference w:id="2"/>
      </w:r>
      <w:r w:rsidR="004C4A1E">
        <w:t xml:space="preserve"> </w:t>
      </w:r>
      <w:r w:rsidRPr="00A503EC">
        <w:rPr>
          <w:bdr w:val="none" w:sz="0" w:space="0" w:color="auto"/>
          <w:lang w:val="fr-FR"/>
        </w:rPr>
        <w:t>L'informalité revêt de nombreuses formes et comprend les travailleurs à leur propre compte, les travailleurs occupant des emplois informels au sein d'entreprises formelles, les travailleurs domestiques et les travailleurs ayant des « relations de travail non reconnues ou non réglementées ».</w:t>
      </w:r>
      <w:r w:rsidR="004C4A1E">
        <w:rPr>
          <w:rFonts w:eastAsia="Helvetica Neue" w:cs="Helvetica Neue"/>
          <w:vertAlign w:val="superscript"/>
        </w:rPr>
        <w:footnoteReference w:id="3"/>
      </w:r>
      <w:r w:rsidR="004C4A1E">
        <w:t xml:space="preserve"> </w:t>
      </w:r>
      <w:r w:rsidRPr="00476FF7">
        <w:rPr>
          <w:bdr w:val="none" w:sz="0" w:space="0" w:color="auto"/>
          <w:lang w:val="fr-FR"/>
        </w:rPr>
        <w:t>Dans les pays à faible revenu en particulier, les femmes représentent 92,1 % des travailleurs informels et sont surreprésentées dans l'économie informelle.</w:t>
      </w:r>
      <w:r w:rsidR="004C4A1E">
        <w:rPr>
          <w:rFonts w:eastAsia="Helvetica Neue" w:cs="Helvetica Neue"/>
          <w:vertAlign w:val="superscript"/>
        </w:rPr>
        <w:footnoteReference w:id="4"/>
      </w:r>
    </w:p>
    <w:p w:rsidR="003B1569" w:rsidRPr="00476FF7" w:rsidRDefault="003B1569" w:rsidP="00476FF7">
      <w:pPr>
        <w:pStyle w:val="BodyA"/>
        <w:jc w:val="both"/>
        <w:rPr>
          <w:rFonts w:hint="eastAsia"/>
          <w:bdr w:val="none" w:sz="0" w:space="0" w:color="auto"/>
          <w:lang w:val="fr-FR"/>
        </w:rPr>
      </w:pPr>
    </w:p>
    <w:p w:rsidR="00E74327" w:rsidRDefault="00A503EC" w:rsidP="00A503EC">
      <w:pPr>
        <w:pStyle w:val="BodyA"/>
        <w:numPr>
          <w:ilvl w:val="0"/>
          <w:numId w:val="5"/>
        </w:numPr>
        <w:ind w:left="284" w:hanging="284"/>
        <w:jc w:val="both"/>
        <w:rPr>
          <w:rFonts w:hint="eastAsia"/>
        </w:rPr>
      </w:pPr>
      <w:r w:rsidRPr="00A503EC">
        <w:rPr>
          <w:bdr w:val="none" w:sz="0" w:space="0" w:color="auto"/>
          <w:lang w:val="fr-FR"/>
        </w:rPr>
        <w:t xml:space="preserve">Historiquement, si les puissances coloniales ont eu recours à l'esclavage et au travail forcé pour soutenir l'entreprise et l'expansion, elles ont également utilisé des mesures indirectes telles que les lois sur le vagabondage, les lois sur les laissez-passer et les restrictions foncières pour inciter la population à chercher un travail rémunéré.  </w:t>
      </w:r>
      <w:r w:rsidR="004C4A1E">
        <w:rPr>
          <w:rFonts w:eastAsia="Helvetica Neue" w:cs="Helvetica Neue"/>
          <w:vertAlign w:val="superscript"/>
        </w:rPr>
        <w:footnoteReference w:id="5"/>
      </w:r>
      <w:r w:rsidR="004C4A1E">
        <w:t xml:space="preserve"> </w:t>
      </w:r>
      <w:r w:rsidRPr="00A503EC">
        <w:rPr>
          <w:bdr w:val="none" w:sz="0" w:space="0" w:color="auto"/>
          <w:lang w:val="fr-FR"/>
        </w:rPr>
        <w:t xml:space="preserve">Le fait de privilégier le « travail salarié » et la relation contractuelle d'emploi comme seule forme de travail reconnue par la loi est un héritage colonial britannique qui a été conçu pour garantir une main-d'œuvre disponible et bon marché.  </w:t>
      </w:r>
      <w:r w:rsidR="004C4A1E">
        <w:rPr>
          <w:rFonts w:eastAsia="Helvetica Neue" w:cs="Helvetica Neue"/>
          <w:vertAlign w:val="superscript"/>
        </w:rPr>
        <w:footnoteReference w:id="6"/>
      </w:r>
      <w:r w:rsidR="004C4A1E">
        <w:t xml:space="preserve"> </w:t>
      </w:r>
      <w:r w:rsidRPr="00A503EC">
        <w:rPr>
          <w:bdr w:val="none" w:sz="0" w:space="0" w:color="auto"/>
          <w:lang w:val="fr-FR"/>
        </w:rPr>
        <w:t>Ces conceptions restent ancrées dans les lois actuelles sur le travail, souvent porteuses de valeurs contemporaines qui incluent l'impulsion de créer des « villes de classe mondiale » visuellement purgées des défavorisés.</w:t>
      </w:r>
      <w:r w:rsidR="004C4A1E">
        <w:rPr>
          <w:rFonts w:eastAsia="Helvetica Neue" w:cs="Helvetica Neue"/>
          <w:vertAlign w:val="superscript"/>
        </w:rPr>
        <w:footnoteReference w:id="7"/>
      </w:r>
    </w:p>
    <w:p w:rsidR="00E96919" w:rsidRDefault="00E96919" w:rsidP="00E96919">
      <w:pPr>
        <w:pStyle w:val="Paragraphedeliste"/>
      </w:pPr>
    </w:p>
    <w:p w:rsidR="00A503EC" w:rsidRPr="00A503EC" w:rsidRDefault="00A503EC" w:rsidP="00A503EC">
      <w:pPr>
        <w:pStyle w:val="BodyA"/>
        <w:numPr>
          <w:ilvl w:val="0"/>
          <w:numId w:val="5"/>
        </w:numPr>
        <w:ind w:left="284" w:hanging="284"/>
        <w:jc w:val="both"/>
        <w:rPr>
          <w:rFonts w:hint="eastAsia"/>
          <w:bdr w:val="none" w:sz="0" w:space="0" w:color="auto"/>
        </w:rPr>
      </w:pPr>
      <w:r w:rsidRPr="00A503EC">
        <w:rPr>
          <w:bdr w:val="none" w:sz="0" w:space="0" w:color="auto"/>
          <w:lang w:val="fr-FR"/>
        </w:rPr>
        <w:t xml:space="preserve">Cependant, la non-reconnaissance du travail informel est textuellement en contradiction avec les instruments de l'OIT et les instruments internationaux relatifs aux droits de l'homme qui consacrent les droits individuels et collectifs de « tous » les travailleurs sans distinction et qui ont été interprétés comme s'appliquant à tous les travailleurs, y compris ceux de l'économie informelle.   </w:t>
      </w:r>
      <w:r w:rsidR="004C4A1E">
        <w:t xml:space="preserve"> </w:t>
      </w:r>
      <w:r w:rsidR="004C4A1E">
        <w:rPr>
          <w:rFonts w:eastAsia="Helvetica Neue" w:cs="Helvetica Neue"/>
          <w:vertAlign w:val="superscript"/>
        </w:rPr>
        <w:lastRenderedPageBreak/>
        <w:footnoteReference w:id="8"/>
      </w:r>
      <w:r w:rsidR="004C4A1E">
        <w:t xml:space="preserve"> </w:t>
      </w:r>
      <w:r w:rsidRPr="00A503EC">
        <w:rPr>
          <w:bdr w:val="none" w:sz="0" w:space="0" w:color="auto"/>
          <w:lang w:val="fr-FR"/>
        </w:rPr>
        <w:t>Elle est également en contradiction avec la Charte africaine, qui étend les droits aux individus, et avec le Protocole de Maputo, qui traite explicitement des femmes travaillant dans l'économie informelle.</w:t>
      </w:r>
    </w:p>
    <w:p w:rsidR="00E96919" w:rsidRPr="00A503EC" w:rsidRDefault="00E96919" w:rsidP="00A503EC">
      <w:pPr>
        <w:pStyle w:val="BodyA"/>
        <w:jc w:val="both"/>
        <w:rPr>
          <w:rFonts w:hint="eastAsia"/>
          <w:color w:val="FFFFFF"/>
          <w:sz w:val="6"/>
        </w:rPr>
      </w:pPr>
    </w:p>
    <w:p w:rsidR="00476FF7" w:rsidRDefault="004C4A1E" w:rsidP="00A503EC">
      <w:pPr>
        <w:pStyle w:val="BodyA"/>
        <w:numPr>
          <w:ilvl w:val="0"/>
          <w:numId w:val="5"/>
        </w:numPr>
        <w:ind w:left="284" w:hanging="284"/>
        <w:jc w:val="both"/>
        <w:rPr>
          <w:rFonts w:hint="eastAsia"/>
          <w:bdr w:val="none" w:sz="0" w:space="0" w:color="auto"/>
          <w:lang w:val="fr-FR"/>
        </w:rPr>
      </w:pPr>
      <w:r>
        <w:t xml:space="preserve">  </w:t>
      </w:r>
      <w:r w:rsidR="00A503EC" w:rsidRPr="00A503EC">
        <w:rPr>
          <w:bdr w:val="none" w:sz="0" w:space="0" w:color="auto"/>
          <w:lang w:val="fr-FR"/>
        </w:rPr>
        <w:t>Plus précisément, l'exclusion du droit du travail ou de lois analogues prive les travailleurs de l'économie informelle de leurs droits à la non-discrimination au travail, à la liberté d'association et à la négociation collective, du droit de travailler dans des conditions équitables et satisfaisantes et du droit à une protection sociale :</w:t>
      </w:r>
    </w:p>
    <w:p w:rsidR="00E74327" w:rsidRPr="00A503EC" w:rsidRDefault="00E74327" w:rsidP="00476FF7">
      <w:pPr>
        <w:pStyle w:val="BodyA"/>
        <w:jc w:val="both"/>
        <w:rPr>
          <w:rFonts w:hint="eastAsia"/>
        </w:rPr>
      </w:pPr>
    </w:p>
    <w:p w:rsidR="00E96919" w:rsidRPr="00E96919" w:rsidRDefault="00A503EC" w:rsidP="00A503EC">
      <w:pPr>
        <w:pStyle w:val="BodyA"/>
        <w:numPr>
          <w:ilvl w:val="0"/>
          <w:numId w:val="6"/>
        </w:numPr>
        <w:jc w:val="both"/>
        <w:rPr>
          <w:rFonts w:hint="eastAsia"/>
        </w:rPr>
      </w:pPr>
      <w:r w:rsidRPr="00A503EC">
        <w:rPr>
          <w:rFonts w:hint="eastAsia"/>
          <w:b/>
          <w:bCs/>
          <w:bdr w:val="none" w:sz="0" w:space="0" w:color="auto"/>
          <w:lang w:val="fr-FR"/>
        </w:rPr>
        <w:t>Droit à la non-discriminatio</w:t>
      </w:r>
      <w:r w:rsidRPr="00A503EC">
        <w:rPr>
          <w:b/>
          <w:bCs/>
          <w:bdr w:val="none" w:sz="0" w:space="0" w:color="auto"/>
          <w:lang w:val="fr-FR"/>
        </w:rPr>
        <w:t>n au travail</w:t>
      </w:r>
      <w:r w:rsidR="004C4A1E" w:rsidRPr="0083428E">
        <w:rPr>
          <w:b/>
          <w:bCs/>
        </w:rPr>
        <w:t xml:space="preserve">   </w:t>
      </w:r>
    </w:p>
    <w:p w:rsidR="00E96919" w:rsidRDefault="00E96919" w:rsidP="00E96919">
      <w:pPr>
        <w:pStyle w:val="BodyA"/>
        <w:ind w:left="60"/>
        <w:jc w:val="both"/>
        <w:rPr>
          <w:rFonts w:hint="eastAsia"/>
        </w:rPr>
      </w:pPr>
    </w:p>
    <w:p w:rsidR="00476FF7" w:rsidRDefault="00A503EC" w:rsidP="00476FF7">
      <w:pPr>
        <w:pStyle w:val="BodyA"/>
        <w:numPr>
          <w:ilvl w:val="0"/>
          <w:numId w:val="5"/>
        </w:numPr>
        <w:jc w:val="both"/>
        <w:rPr>
          <w:rFonts w:hint="eastAsia"/>
        </w:rPr>
      </w:pPr>
      <w:r w:rsidRPr="00476FF7">
        <w:rPr>
          <w:bdr w:val="none" w:sz="0" w:space="0" w:color="auto"/>
          <w:lang w:val="fr-FR"/>
        </w:rPr>
        <w:t xml:space="preserve">Les instruments internationaux relatifs aux droits de l'homme interdisent largement la discrimination directe et indirecte fondée sur des motifs prohibés.  </w:t>
      </w:r>
      <w:r w:rsidR="004C4A1E">
        <w:t xml:space="preserve"> </w:t>
      </w:r>
      <w:r w:rsidR="004C4A1E">
        <w:rPr>
          <w:vertAlign w:val="superscript"/>
        </w:rPr>
        <w:footnoteReference w:id="9"/>
      </w:r>
      <w:r w:rsidRPr="00476FF7">
        <w:rPr>
          <w:bdr w:val="none" w:sz="0" w:space="0" w:color="auto"/>
          <w:lang w:val="fr-FR"/>
        </w:rPr>
        <w:t>Les organes de traités chargés d'interpréter ces Conventions ont progressé dans l'articulation des manières dont la discrimination est aggravée lorsqu'elle se produit de manière transversale, sur plus d'un motif, et des façons dont la pauvreté ou le désavantage socio-économiques se recoupent et exacerbent une telle discrimination pour des motifs interdits.</w:t>
      </w:r>
      <w:r w:rsidR="004C4A1E">
        <w:rPr>
          <w:vertAlign w:val="superscript"/>
        </w:rPr>
        <w:footnoteReference w:id="10"/>
      </w:r>
      <w:r w:rsidR="004C4A1E">
        <w:t xml:space="preserve"> </w:t>
      </w:r>
    </w:p>
    <w:p w:rsidR="00476FF7" w:rsidRDefault="00476FF7" w:rsidP="00476FF7">
      <w:pPr>
        <w:pStyle w:val="BodyA"/>
        <w:ind w:left="360"/>
        <w:jc w:val="both"/>
        <w:rPr>
          <w:rFonts w:hint="eastAsia"/>
        </w:rPr>
      </w:pPr>
    </w:p>
    <w:p w:rsidR="00E74327" w:rsidRDefault="00A503EC" w:rsidP="00476FF7">
      <w:pPr>
        <w:pStyle w:val="BodyA"/>
        <w:numPr>
          <w:ilvl w:val="0"/>
          <w:numId w:val="5"/>
        </w:numPr>
        <w:jc w:val="both"/>
        <w:rPr>
          <w:rFonts w:hint="eastAsia"/>
        </w:rPr>
      </w:pPr>
      <w:r w:rsidRPr="00476FF7">
        <w:rPr>
          <w:bdr w:val="none" w:sz="0" w:space="0" w:color="auto"/>
          <w:lang w:val="fr-FR"/>
        </w:rPr>
        <w:t xml:space="preserve">La Commission africaine des droits de l'homme et des peuples (CADHP) considère elle aussi que la non-discrimination est interdite pour un large éventail de motifs, notamment « la race, l'ethnie, la couleur, le sexe, la langue, la religion, l'opinion politique ou toute autre opinion, l'origine nationale et sociale, la fortune, la naissance ou toute autre situation ».   </w:t>
      </w:r>
      <w:r w:rsidR="004C4A1E" w:rsidRPr="000B0B88">
        <w:rPr>
          <w:vertAlign w:val="superscript"/>
        </w:rPr>
        <w:footnoteReference w:id="11"/>
      </w:r>
      <w:r w:rsidR="004C4A1E">
        <w:t xml:space="preserve">  </w:t>
      </w:r>
      <w:r w:rsidR="000B0B88" w:rsidRPr="00476FF7">
        <w:rPr>
          <w:bdr w:val="none" w:sz="0" w:space="0" w:color="auto"/>
          <w:lang w:val="fr-FR"/>
        </w:rPr>
        <w:t xml:space="preserve">Elle inclut « toute conduite ou omission » qui aurait « pour but ou pour effet de détruire ou de compromettre l'égalité d'accès et de jouissance des droits économiques, sociaux et culturels ».  </w:t>
      </w:r>
      <w:r w:rsidR="004C4A1E">
        <w:rPr>
          <w:vertAlign w:val="superscript"/>
        </w:rPr>
        <w:footnoteReference w:id="12"/>
      </w:r>
      <w:r w:rsidR="004C4A1E">
        <w:t xml:space="preserve"> </w:t>
      </w:r>
      <w:r w:rsidR="000B0B88" w:rsidRPr="00476FF7">
        <w:rPr>
          <w:bdr w:val="none" w:sz="0" w:space="0" w:color="auto"/>
          <w:lang w:val="fr-FR"/>
        </w:rPr>
        <w:t>Par ailleurs, la définition de la discrimination par la Commission africaine « inclut des situations dans lesquelles une loi ou une mesure neutre ou apparemment non discriminatoire produit les effets d'une distinction injustifiée » et, en tant que telle, englobe la discrimination indirecte</w:t>
      </w:r>
      <w:r w:rsidR="000B0B88" w:rsidRPr="000B0B88">
        <w:rPr>
          <w:vanish/>
          <w:bdr w:val="none" w:sz="0" w:space="0" w:color="auto"/>
          <w:vertAlign w:val="superscript"/>
        </w:rPr>
        <w:footnoteReference w:id="13"/>
      </w:r>
      <w:r w:rsidR="000B0B88" w:rsidRPr="00476FF7">
        <w:rPr>
          <w:bdr w:val="none" w:sz="0" w:space="0" w:color="auto"/>
          <w:lang w:val="fr-FR"/>
        </w:rPr>
        <w:t>.</w:t>
      </w:r>
      <w:r w:rsidR="004C4A1E">
        <w:t xml:space="preserve"> </w:t>
      </w:r>
    </w:p>
    <w:p w:rsidR="00E96919" w:rsidRDefault="00E96919" w:rsidP="00E96919">
      <w:pPr>
        <w:pStyle w:val="BodyA"/>
        <w:ind w:left="720"/>
        <w:jc w:val="both"/>
        <w:rPr>
          <w:rFonts w:hint="eastAsia"/>
        </w:rPr>
      </w:pPr>
    </w:p>
    <w:p w:rsidR="00E74327" w:rsidRDefault="000B0B88" w:rsidP="000B0B88">
      <w:pPr>
        <w:pStyle w:val="BodyA"/>
        <w:numPr>
          <w:ilvl w:val="0"/>
          <w:numId w:val="5"/>
        </w:numPr>
        <w:jc w:val="both"/>
        <w:rPr>
          <w:rFonts w:hint="eastAsia"/>
        </w:rPr>
      </w:pPr>
      <w:r w:rsidRPr="000B0B88">
        <w:rPr>
          <w:bdr w:val="none" w:sz="0" w:space="0" w:color="auto"/>
          <w:lang w:val="fr-FR"/>
        </w:rPr>
        <w:t xml:space="preserve">En effet, certaines des analyses les plus progressives à ce jour sur le statut socio-économique, la pauvreté et les formes croisées de marginalisation proviennent du système africain des droits de l'homme, en particulier de la Cour africaine des droits de l'homme. </w:t>
      </w:r>
      <w:r w:rsidR="004C4A1E">
        <w:t xml:space="preserve"> </w:t>
      </w:r>
      <w:r w:rsidRPr="000B0B88">
        <w:rPr>
          <w:bdr w:val="none" w:sz="0" w:space="0" w:color="auto"/>
          <w:lang w:val="fr-FR"/>
        </w:rPr>
        <w:t xml:space="preserve">En 2020, la Cour africaine a émis un avis consultatif estimant que les lois sur le vagabondage criminalisent essentiellement la pauvreté et qu’elles violent les droits à la dignité, à l'absence de discrimination, au travail et à la liberté de circulation en vertu de la Charte africaine, du Protocole à la Charte africaine et du droit et du bien-être de l'enfant.   </w:t>
      </w:r>
      <w:r w:rsidR="004C4A1E">
        <w:t xml:space="preserve"> </w:t>
      </w:r>
      <w:r w:rsidR="004C4A1E">
        <w:rPr>
          <w:vertAlign w:val="superscript"/>
        </w:rPr>
        <w:footnoteReference w:id="14"/>
      </w:r>
      <w:r w:rsidR="004C4A1E">
        <w:t xml:space="preserve"> </w:t>
      </w:r>
      <w:r w:rsidRPr="000B0B88">
        <w:rPr>
          <w:bdr w:val="none" w:sz="0" w:space="0" w:color="auto"/>
          <w:lang w:val="fr-FR"/>
        </w:rPr>
        <w:t xml:space="preserve">La Cour a interprété </w:t>
      </w:r>
      <w:r w:rsidRPr="000B0B88">
        <w:rPr>
          <w:bdr w:val="none" w:sz="0" w:space="0" w:color="auto"/>
          <w:lang w:val="fr-FR"/>
        </w:rPr>
        <w:lastRenderedPageBreak/>
        <w:t xml:space="preserve">l'expression « toute autre situation » de l'Article 2 de la Charte comme n'étant pas exhaustive et comme incluant la discrimination fondée sur le statut économique.   </w:t>
      </w:r>
      <w:r w:rsidR="004C4A1E">
        <w:rPr>
          <w:rStyle w:val="None"/>
          <w:vertAlign w:val="superscript"/>
        </w:rPr>
        <w:footnoteReference w:id="15"/>
      </w:r>
      <w:r w:rsidR="004C4A1E">
        <w:t xml:space="preserve">  </w:t>
      </w:r>
      <w:r w:rsidRPr="000B0B88">
        <w:rPr>
          <w:bdr w:val="none" w:sz="0" w:space="0" w:color="auto"/>
          <w:lang w:val="fr-FR"/>
        </w:rPr>
        <w:t>En conséquence de cette reconnaissance, elle a conclu que les lois sur le vagabondage constituaient une discrimination fondée sur le statut économique.</w:t>
      </w:r>
      <w:r w:rsidR="004C4A1E">
        <w:rPr>
          <w:rStyle w:val="None"/>
          <w:vertAlign w:val="superscript"/>
        </w:rPr>
        <w:footnoteReference w:id="16"/>
      </w:r>
      <w:r w:rsidR="004C4A1E">
        <w:t xml:space="preserve"> </w:t>
      </w:r>
    </w:p>
    <w:p w:rsidR="00E96919" w:rsidRDefault="00E96919" w:rsidP="00E96919">
      <w:pPr>
        <w:pStyle w:val="Paragraphedeliste"/>
      </w:pPr>
    </w:p>
    <w:p w:rsidR="00E74327" w:rsidRDefault="000B0B88" w:rsidP="000B0B88">
      <w:pPr>
        <w:pStyle w:val="BodyA"/>
        <w:numPr>
          <w:ilvl w:val="0"/>
          <w:numId w:val="5"/>
        </w:numPr>
        <w:jc w:val="both"/>
        <w:rPr>
          <w:rFonts w:hint="eastAsia"/>
        </w:rPr>
      </w:pPr>
      <w:r w:rsidRPr="000B0B88">
        <w:rPr>
          <w:bdr w:val="none" w:sz="0" w:space="0" w:color="auto"/>
          <w:lang w:val="fr-FR"/>
        </w:rPr>
        <w:t>En concluant que les lois sur le vagabondage constituent une discrimination fondée sur la situation économique, la Cour a observé que ces lois « punissent effectivement les pauvres et les défavorisés, y compris, mais sans s'y limiter, [.</w:t>
      </w:r>
      <w:r w:rsidR="004C4A1E">
        <w:t xml:space="preserve"> . .</w:t>
      </w:r>
      <w:r w:rsidRPr="000B0B88">
        <w:rPr>
          <w:bdr w:val="none" w:sz="0" w:space="0" w:color="auto"/>
          <w:lang w:val="fr-FR"/>
        </w:rPr>
        <w:t xml:space="preserve">..] les colporteurs, les vendeurs de rue et les personnes utilisant autrement les espaces publics pour gagner leur vie ».  </w:t>
      </w:r>
      <w:r w:rsidR="004C4A1E">
        <w:rPr>
          <w:rStyle w:val="None"/>
          <w:vertAlign w:val="superscript"/>
        </w:rPr>
        <w:footnoteReference w:id="17"/>
      </w:r>
      <w:r w:rsidR="004C4A1E">
        <w:t xml:space="preserve"> </w:t>
      </w:r>
      <w:r w:rsidRPr="000B0B88">
        <w:rPr>
          <w:bdr w:val="none" w:sz="0" w:space="0" w:color="auto"/>
          <w:lang w:val="fr-FR"/>
        </w:rPr>
        <w:t>La Cour a considéré les lois sur le vagabondage comme étant le « reflet d'une perception dépassée et largement coloniale des individus sans droits [qui] déshumanise et dénigre les individus dont le statut est perçu comme inférieur ».</w:t>
      </w:r>
      <w:r w:rsidR="004C4A1E">
        <w:rPr>
          <w:rStyle w:val="None"/>
          <w:vertAlign w:val="superscript"/>
        </w:rPr>
        <w:footnoteReference w:id="18"/>
      </w:r>
      <w:r w:rsidR="004C4A1E">
        <w:t xml:space="preserve">  </w:t>
      </w:r>
    </w:p>
    <w:p w:rsidR="00E96919" w:rsidRDefault="00E96919" w:rsidP="00E96919">
      <w:pPr>
        <w:pStyle w:val="Paragraphedeliste"/>
      </w:pPr>
    </w:p>
    <w:p w:rsidR="00E74327" w:rsidRDefault="000B0B88" w:rsidP="000B0B88">
      <w:pPr>
        <w:pStyle w:val="BodyA"/>
        <w:numPr>
          <w:ilvl w:val="0"/>
          <w:numId w:val="5"/>
        </w:numPr>
        <w:jc w:val="both"/>
        <w:rPr>
          <w:rFonts w:hint="eastAsia"/>
        </w:rPr>
      </w:pPr>
      <w:r w:rsidRPr="000B0B88">
        <w:rPr>
          <w:bdr w:val="none" w:sz="0" w:space="0" w:color="auto"/>
          <w:lang w:val="fr-FR"/>
        </w:rPr>
        <w:t xml:space="preserve">La Cour a également adopté une approche intersectionnelle en examinant l'impact des lois sur le vagabondage sur les femmes, les enfants et les groupes marginalisés, et a estimé, en vertu du Protocole de Maputo, que les États avaient l'obligation de « créer un environnement dans lequel les femmes pauvres et marginalisées puissent jouir pleinement de tous leurs droits fondamentaux ».  </w:t>
      </w:r>
      <w:r w:rsidR="004C4A1E">
        <w:rPr>
          <w:rStyle w:val="None"/>
          <w:vertAlign w:val="superscript"/>
        </w:rPr>
        <w:footnoteReference w:id="19"/>
      </w:r>
      <w:r w:rsidR="004C4A1E">
        <w:t xml:space="preserve"> </w:t>
      </w:r>
      <w:r w:rsidRPr="000B0B88">
        <w:rPr>
          <w:bdr w:val="none" w:sz="0" w:space="0" w:color="auto"/>
          <w:lang w:val="fr-FR"/>
        </w:rPr>
        <w:t xml:space="preserve">Elle a constaté que les lois sur le vagabondage, qui visent les pauvres, </w:t>
      </w:r>
      <w:r w:rsidR="00476FF7" w:rsidRPr="000B0B88">
        <w:rPr>
          <w:bdr w:val="none" w:sz="0" w:space="0" w:color="auto"/>
          <w:lang w:val="fr-FR"/>
        </w:rPr>
        <w:t>les sans-abri</w:t>
      </w:r>
      <w:r w:rsidR="00476FF7" w:rsidRPr="000B0B88">
        <w:rPr>
          <w:rFonts w:hint="eastAsia"/>
          <w:bdr w:val="none" w:sz="0" w:space="0" w:color="auto"/>
          <w:lang w:val="fr-FR"/>
        </w:rPr>
        <w:t>s</w:t>
      </w:r>
      <w:r w:rsidRPr="000B0B88">
        <w:rPr>
          <w:bdr w:val="none" w:sz="0" w:space="0" w:color="auto"/>
          <w:lang w:val="fr-FR"/>
        </w:rPr>
        <w:t xml:space="preserve"> et les personnes vivant dans des campements, affectent les femmes de manière disproportionnée et peuvent conduire à leur arrestation, à leur détention et à leur harcèlement par les forces de l'ordre. </w:t>
      </w:r>
      <w:r w:rsidR="004C4A1E">
        <w:t xml:space="preserve"> </w:t>
      </w:r>
      <w:r w:rsidRPr="000B0B88">
        <w:rPr>
          <w:bdr w:val="none" w:sz="0" w:space="0" w:color="auto"/>
          <w:lang w:val="fr-FR"/>
        </w:rPr>
        <w:t>Ces mesures peuvent exacerber la discrimination fondée sur le sexe, l'âge, la nationalité et d'autres identités marginalisées, et constituent une violation de la Charte africaine.</w:t>
      </w:r>
      <w:r w:rsidR="004C4A1E">
        <w:t xml:space="preserve">  </w:t>
      </w:r>
    </w:p>
    <w:p w:rsidR="00E74327" w:rsidRDefault="00E74327" w:rsidP="00B153C7">
      <w:pPr>
        <w:pStyle w:val="BodyA"/>
        <w:ind w:left="420"/>
        <w:jc w:val="both"/>
        <w:rPr>
          <w:rFonts w:hint="eastAsia"/>
        </w:rPr>
      </w:pPr>
    </w:p>
    <w:p w:rsidR="00E96919" w:rsidRPr="00E96919" w:rsidRDefault="000B0B88" w:rsidP="000B0B88">
      <w:pPr>
        <w:pStyle w:val="BodyA"/>
        <w:numPr>
          <w:ilvl w:val="0"/>
          <w:numId w:val="6"/>
        </w:numPr>
        <w:jc w:val="both"/>
        <w:rPr>
          <w:rStyle w:val="None"/>
          <w:rFonts w:hint="eastAsia"/>
          <w:b/>
          <w:bCs/>
        </w:rPr>
      </w:pPr>
      <w:r w:rsidRPr="000B0B88">
        <w:rPr>
          <w:b/>
          <w:bCs/>
          <w:bdr w:val="none" w:sz="0" w:space="0" w:color="auto"/>
          <w:lang w:val="fr-FR"/>
        </w:rPr>
        <w:t>Droit de s’associer librement et de négocier collectivement</w:t>
      </w:r>
      <w:r w:rsidR="004C4A1E">
        <w:rPr>
          <w:rStyle w:val="None"/>
        </w:rPr>
        <w:t xml:space="preserve"> </w:t>
      </w:r>
    </w:p>
    <w:p w:rsidR="00E96919" w:rsidRDefault="00E96919" w:rsidP="00E96919">
      <w:pPr>
        <w:pStyle w:val="BodyA"/>
        <w:ind w:left="60"/>
        <w:jc w:val="both"/>
        <w:rPr>
          <w:rFonts w:hint="eastAsia"/>
          <w:b/>
          <w:bCs/>
        </w:rPr>
      </w:pPr>
    </w:p>
    <w:p w:rsidR="00E74327" w:rsidRPr="000B0B88" w:rsidRDefault="000B0B88" w:rsidP="000B0B88">
      <w:pPr>
        <w:pStyle w:val="BodyA"/>
        <w:numPr>
          <w:ilvl w:val="0"/>
          <w:numId w:val="5"/>
        </w:numPr>
        <w:jc w:val="both"/>
        <w:rPr>
          <w:rStyle w:val="None"/>
          <w:rFonts w:hint="eastAsia"/>
          <w:b/>
          <w:bCs/>
        </w:rPr>
      </w:pPr>
      <w:r w:rsidRPr="000B0B88">
        <w:rPr>
          <w:rStyle w:val="None"/>
          <w:bdr w:val="none" w:sz="0" w:space="0" w:color="auto"/>
          <w:lang w:val="fr-FR"/>
        </w:rPr>
        <w:t xml:space="preserve">Les exclusions de la législation du travail privent les travailleurs de l'économie informelle d'une voix collective et de la capacité d'améliorer collectivement leurs conditions de travail ou de représenter leurs intérêts économiques. </w:t>
      </w:r>
      <w:r w:rsidR="004C4A1E">
        <w:rPr>
          <w:rStyle w:val="None"/>
        </w:rPr>
        <w:t xml:space="preserve"> </w:t>
      </w:r>
      <w:r w:rsidRPr="000B0B88">
        <w:rPr>
          <w:rStyle w:val="None"/>
          <w:bdr w:val="none" w:sz="0" w:space="0" w:color="auto"/>
          <w:lang w:val="fr-FR"/>
        </w:rPr>
        <w:t>En fin de compte, elles contribuent à l'enracinement de la pauvreté et de l'inégalité.</w:t>
      </w:r>
    </w:p>
    <w:p w:rsidR="00E96919" w:rsidRPr="00E96919" w:rsidRDefault="00E96919" w:rsidP="00E96919">
      <w:pPr>
        <w:pStyle w:val="BodyA"/>
        <w:ind w:left="720"/>
        <w:jc w:val="both"/>
        <w:rPr>
          <w:rStyle w:val="None"/>
          <w:rFonts w:hint="eastAsia"/>
          <w:b/>
          <w:bCs/>
        </w:rPr>
      </w:pPr>
    </w:p>
    <w:p w:rsidR="00E74327" w:rsidRPr="000B0B88" w:rsidRDefault="000B0B88" w:rsidP="000B0B88">
      <w:pPr>
        <w:pStyle w:val="BodyA"/>
        <w:numPr>
          <w:ilvl w:val="0"/>
          <w:numId w:val="5"/>
        </w:numPr>
        <w:jc w:val="both"/>
        <w:rPr>
          <w:rStyle w:val="None"/>
          <w:rFonts w:hint="eastAsia"/>
          <w:b/>
          <w:bCs/>
        </w:rPr>
      </w:pPr>
      <w:r w:rsidRPr="000B0B88">
        <w:rPr>
          <w:bdr w:val="none" w:sz="0" w:space="0" w:color="auto"/>
          <w:lang w:val="fr-FR"/>
        </w:rPr>
        <w:t xml:space="preserve">Les organes conventionnels des Nations Unies, tels que le Pacte international relatif aux droits économiques, sociaux et culturels (PIDESC) et le Comité de la Convention sur l'élimination de toutes les formes de discrimination à l'égard des femmes (CEDAW), ont spécifiquement reconnu la nécessité de garantir les droits collectifs des travailleurs de l'économie informelle. </w:t>
      </w:r>
      <w:r w:rsidR="004C4A1E">
        <w:t xml:space="preserve"> </w:t>
      </w:r>
      <w:r w:rsidRPr="000B0B88">
        <w:rPr>
          <w:bdr w:val="none" w:sz="0" w:space="0" w:color="auto"/>
          <w:lang w:val="fr-FR"/>
        </w:rPr>
        <w:t xml:space="preserve">De même, le Comité pour l'élimination de toutes les formes de discrimination à l'égard des femmes et le Groupe de travail sur la question de la discrimination à l'égard des femmes et des filles dans la législation et la pratique considèrent que l'action collective et l'organisation sont essentielles à la réalisation des droits des femmes travaillant dans l'économie informelle. </w:t>
      </w:r>
      <w:r w:rsidR="004C4A1E" w:rsidRPr="000B0B88">
        <w:rPr>
          <w:rStyle w:val="None"/>
          <w:b/>
          <w:bCs/>
        </w:rPr>
        <w:t xml:space="preserve"> </w:t>
      </w:r>
      <w:r w:rsidRPr="000B0B88">
        <w:rPr>
          <w:bdr w:val="none" w:sz="0" w:space="0" w:color="auto"/>
          <w:lang w:val="fr-FR"/>
        </w:rPr>
        <w:t>Le système africain des droits de l'homme consacre également le droit de « toute personne » de former des syndicats et de s'y affilier, ainsi que le droit à la négociation collective en vertu des Articles 10 et 15 de la Charte africaine des droits de l’homme et des peuples.</w:t>
      </w:r>
      <w:r w:rsidR="004C4A1E">
        <w:t xml:space="preserve"> </w:t>
      </w:r>
    </w:p>
    <w:p w:rsidR="00E74327" w:rsidRDefault="00E74327" w:rsidP="00B153C7">
      <w:pPr>
        <w:pStyle w:val="BodyA"/>
        <w:jc w:val="both"/>
        <w:rPr>
          <w:rFonts w:hint="eastAsia"/>
        </w:rPr>
      </w:pPr>
    </w:p>
    <w:p w:rsidR="00E96919" w:rsidRDefault="000B0B88" w:rsidP="000B0B88">
      <w:pPr>
        <w:pStyle w:val="BodyA"/>
        <w:numPr>
          <w:ilvl w:val="0"/>
          <w:numId w:val="6"/>
        </w:numPr>
        <w:jc w:val="both"/>
        <w:rPr>
          <w:rFonts w:hint="eastAsia"/>
        </w:rPr>
      </w:pPr>
      <w:r w:rsidRPr="000B0B88">
        <w:rPr>
          <w:rStyle w:val="None"/>
          <w:rFonts w:hint="eastAsia"/>
          <w:b/>
          <w:bCs/>
          <w:bdr w:val="none" w:sz="0" w:space="0" w:color="auto"/>
          <w:lang w:val="fr-FR"/>
        </w:rPr>
        <w:t>D</w:t>
      </w:r>
      <w:r w:rsidRPr="000B0B88">
        <w:rPr>
          <w:rStyle w:val="None"/>
          <w:b/>
          <w:bCs/>
          <w:bdr w:val="none" w:sz="0" w:space="0" w:color="auto"/>
          <w:lang w:val="fr-FR"/>
        </w:rPr>
        <w:t>roit de travailler dans des conditions équitables et satisfaisantes.</w:t>
      </w:r>
      <w:r w:rsidR="004C4A1E">
        <w:t xml:space="preserve"> </w:t>
      </w:r>
    </w:p>
    <w:p w:rsidR="00E96919" w:rsidRDefault="00E96919" w:rsidP="00E96919">
      <w:pPr>
        <w:pStyle w:val="BodyA"/>
        <w:ind w:left="60"/>
        <w:jc w:val="both"/>
        <w:rPr>
          <w:rFonts w:hint="eastAsia"/>
        </w:rPr>
      </w:pPr>
    </w:p>
    <w:p w:rsidR="00E74327" w:rsidRPr="000B0B88" w:rsidRDefault="000B0B88" w:rsidP="000B0B88">
      <w:pPr>
        <w:pStyle w:val="BodyA"/>
        <w:numPr>
          <w:ilvl w:val="0"/>
          <w:numId w:val="5"/>
        </w:numPr>
        <w:jc w:val="both"/>
        <w:rPr>
          <w:rFonts w:hint="eastAsia"/>
        </w:rPr>
      </w:pPr>
      <w:r w:rsidRPr="000B0B88">
        <w:rPr>
          <w:bdr w:val="none" w:sz="0" w:space="0" w:color="auto"/>
          <w:lang w:val="fr-FR"/>
        </w:rPr>
        <w:lastRenderedPageBreak/>
        <w:t xml:space="preserve">Le droit de tous les travailleurs à des conditions de travail équitables et satisfaisantes, y compris les travailleurs de l'économie informelle, est bien établi dans les conventions internationales, notamment dans l'Observation générale 18 du PIDESC sur le droit au travail et dans l'Observation générale n° 23 sur le droit à des conditions de travail justes et favorables. </w:t>
      </w:r>
      <w:r w:rsidR="004C4A1E">
        <w:t xml:space="preserve"> </w:t>
      </w:r>
      <w:r w:rsidRPr="000B0B88">
        <w:rPr>
          <w:bdr w:val="none" w:sz="0" w:space="0" w:color="auto"/>
          <w:lang w:val="fr-FR"/>
        </w:rPr>
        <w:t xml:space="preserve">L'Observation générale n° 23 inclut explicitement tous les travailleurs, y compris « les travailleurs de l'économie informelle, les travailleurs agricoles, les travailleurs réfugiés et les travailleurs non rémunérés ». </w:t>
      </w:r>
      <w:r w:rsidR="004C4A1E">
        <w:t xml:space="preserve"> </w:t>
      </w:r>
      <w:r w:rsidRPr="000B0B88">
        <w:rPr>
          <w:bdr w:val="none" w:sz="0" w:space="0" w:color="auto"/>
          <w:lang w:val="fr-FR"/>
        </w:rPr>
        <w:t xml:space="preserve">Elle reconnaît que les femmes sont « souvent surreprésentées dans l'économie informelle, ce qui exacerbe les inégalités dans des domaines tels que la rémunération, la santé et la sécurité, le repos et les loisirs, ainsi que les congés payés ».  </w:t>
      </w:r>
      <w:r w:rsidR="004C4A1E">
        <w:rPr>
          <w:rStyle w:val="None"/>
          <w:vertAlign w:val="superscript"/>
        </w:rPr>
        <w:footnoteReference w:id="20"/>
      </w:r>
      <w:r w:rsidR="004C4A1E">
        <w:t xml:space="preserve"> </w:t>
      </w:r>
      <w:r w:rsidRPr="000B0B88">
        <w:rPr>
          <w:bdr w:val="none" w:sz="0" w:space="0" w:color="auto"/>
          <w:lang w:val="fr-FR"/>
        </w:rPr>
        <w:t>Elle stipule également que tous les travailleurs doivent être à l'abri du harcèlement physique, mental et sexuel, en cohérence avec la Convention 190 de l'OIT qui étend également à tous les travailleurs le droit d'être à l'abri de la violence et du harcèlement.</w:t>
      </w:r>
    </w:p>
    <w:p w:rsidR="00E96919" w:rsidRDefault="00E96919" w:rsidP="00E96919">
      <w:pPr>
        <w:pStyle w:val="BodyA"/>
        <w:ind w:left="720"/>
        <w:jc w:val="both"/>
        <w:rPr>
          <w:rFonts w:hint="eastAsia"/>
        </w:rPr>
      </w:pPr>
    </w:p>
    <w:p w:rsidR="00E74327" w:rsidRDefault="000B0B88" w:rsidP="000B0B88">
      <w:pPr>
        <w:pStyle w:val="BodyA"/>
        <w:numPr>
          <w:ilvl w:val="0"/>
          <w:numId w:val="5"/>
        </w:numPr>
        <w:jc w:val="both"/>
        <w:rPr>
          <w:rFonts w:hint="eastAsia"/>
        </w:rPr>
      </w:pPr>
      <w:r w:rsidRPr="000B0B88">
        <w:rPr>
          <w:bdr w:val="none" w:sz="0" w:space="0" w:color="auto"/>
          <w:lang w:val="fr-FR"/>
        </w:rPr>
        <w:t xml:space="preserve">De même, l'Article 15 de la Charte africaine protège le droit de « toute personne » de travailler dans des conditions équitables et satisfaisantes et à percevoir un salaire égal pour un travail égal ». </w:t>
      </w:r>
      <w:r w:rsidR="004C4A1E">
        <w:t xml:space="preserve"> </w:t>
      </w:r>
      <w:r w:rsidRPr="000B0B88">
        <w:rPr>
          <w:bdr w:val="none" w:sz="0" w:space="0" w:color="auto"/>
          <w:lang w:val="fr-FR"/>
        </w:rPr>
        <w:t xml:space="preserve">Selon la Déclaration de Pretoria de 2004, le droit au travail au titre de l'Article 15 comprend, au minimum, le droit à la « liberté d'association, y compris les droits de négociation collective, de grève et autres droits syndicaux connexes ».   </w:t>
      </w:r>
      <w:r w:rsidR="004C4A1E" w:rsidRPr="000B0B88">
        <w:rPr>
          <w:rStyle w:val="None"/>
          <w:vertAlign w:val="superscript"/>
        </w:rPr>
        <w:t xml:space="preserve"> </w:t>
      </w:r>
      <w:r w:rsidR="004C4A1E">
        <w:rPr>
          <w:rStyle w:val="None"/>
          <w:vertAlign w:val="superscript"/>
        </w:rPr>
        <w:footnoteReference w:id="21"/>
      </w:r>
      <w:r w:rsidR="004C4A1E">
        <w:t xml:space="preserve"> </w:t>
      </w:r>
      <w:r w:rsidRPr="000B0B88">
        <w:rPr>
          <w:bdr w:val="none" w:sz="0" w:space="0" w:color="auto"/>
          <w:lang w:val="fr-FR"/>
        </w:rPr>
        <w:t>La Déclaration de Pretoria stipule expressément que les personnes travaillant dans le secteur informel sont couvertes par l'Article 15.</w:t>
      </w:r>
      <w:r w:rsidR="004C4A1E">
        <w:rPr>
          <w:rStyle w:val="None"/>
          <w:vertAlign w:val="superscript"/>
        </w:rPr>
        <w:footnoteReference w:id="22"/>
      </w:r>
      <w:r w:rsidR="004C4A1E">
        <w:t xml:space="preserve"> </w:t>
      </w:r>
    </w:p>
    <w:p w:rsidR="00E96919" w:rsidRDefault="00E96919" w:rsidP="00E96919">
      <w:pPr>
        <w:pStyle w:val="Paragraphedeliste"/>
      </w:pPr>
    </w:p>
    <w:p w:rsidR="003F567B" w:rsidRPr="000B0B88" w:rsidRDefault="000B0B88" w:rsidP="000B0B88">
      <w:pPr>
        <w:pStyle w:val="BodyA"/>
        <w:numPr>
          <w:ilvl w:val="0"/>
          <w:numId w:val="5"/>
        </w:numPr>
        <w:jc w:val="both"/>
        <w:rPr>
          <w:rFonts w:hint="eastAsia"/>
        </w:rPr>
      </w:pPr>
      <w:r w:rsidRPr="000B0B88">
        <w:rPr>
          <w:bdr w:val="none" w:sz="0" w:space="0" w:color="auto"/>
          <w:lang w:val="fr-FR"/>
        </w:rPr>
        <w:t xml:space="preserve">Cependant, le travail dans l'économie informelle est souvent soumis à des sanctions, et les travailleurs tels que les vendeurs de rue sont soumis à la confiscation et à la destruction de leurs marchandises, à des amendes, à l'arrestation, au harcèlement et à l'agression. </w:t>
      </w:r>
      <w:r w:rsidR="004C4A1E">
        <w:t xml:space="preserve"> </w:t>
      </w:r>
      <w:r w:rsidRPr="000B0B88">
        <w:rPr>
          <w:bdr w:val="none" w:sz="0" w:space="0" w:color="auto"/>
          <w:lang w:val="fr-FR"/>
        </w:rPr>
        <w:t>Les femmes qui travaillent dans l'économie informelle occupent souvent des positions précaires et sont confrontées au harcèlement sexuel de la part des municipalités, des collègues et des clients.</w:t>
      </w:r>
    </w:p>
    <w:p w:rsidR="003F567B" w:rsidRDefault="000B0B88" w:rsidP="000B0B88">
      <w:pPr>
        <w:pStyle w:val="BodyA"/>
        <w:numPr>
          <w:ilvl w:val="0"/>
          <w:numId w:val="6"/>
        </w:numPr>
        <w:jc w:val="both"/>
        <w:rPr>
          <w:rFonts w:hint="eastAsia"/>
        </w:rPr>
      </w:pPr>
      <w:r w:rsidRPr="000B0B88">
        <w:rPr>
          <w:rStyle w:val="None"/>
          <w:rFonts w:hint="eastAsia"/>
          <w:b/>
          <w:bCs/>
          <w:bdr w:val="none" w:sz="0" w:space="0" w:color="auto"/>
          <w:lang w:val="fr-FR"/>
        </w:rPr>
        <w:t>D</w:t>
      </w:r>
      <w:r w:rsidRPr="000B0B88">
        <w:rPr>
          <w:rStyle w:val="None"/>
          <w:b/>
          <w:bCs/>
          <w:bdr w:val="none" w:sz="0" w:space="0" w:color="auto"/>
          <w:lang w:val="fr-FR"/>
        </w:rPr>
        <w:t>roit à une protection sociale :</w:t>
      </w:r>
      <w:r w:rsidR="004C4A1E">
        <w:t xml:space="preserve"> </w:t>
      </w:r>
    </w:p>
    <w:p w:rsidR="003F567B" w:rsidRDefault="003F567B" w:rsidP="003F567B">
      <w:pPr>
        <w:pStyle w:val="BodyA"/>
        <w:ind w:left="780"/>
        <w:jc w:val="both"/>
        <w:rPr>
          <w:rFonts w:hint="eastAsia"/>
        </w:rPr>
      </w:pPr>
    </w:p>
    <w:p w:rsidR="00E74327" w:rsidRDefault="000B0B88" w:rsidP="000B0B88">
      <w:pPr>
        <w:pStyle w:val="BodyA"/>
        <w:numPr>
          <w:ilvl w:val="0"/>
          <w:numId w:val="5"/>
        </w:numPr>
        <w:jc w:val="both"/>
        <w:rPr>
          <w:rFonts w:hint="eastAsia"/>
        </w:rPr>
      </w:pPr>
      <w:r w:rsidRPr="000B0B88">
        <w:rPr>
          <w:bdr w:val="none" w:sz="0" w:space="0" w:color="auto"/>
          <w:lang w:val="fr-FR"/>
        </w:rPr>
        <w:t>Le droit à une protection sociale est largement inscrit dans les instruments internationaux, notamment dans les Articles 15, 16 et 17 de la Charte africaine</w:t>
      </w:r>
      <w:r w:rsidRPr="000B0B88">
        <w:rPr>
          <w:rStyle w:val="None"/>
          <w:vanish/>
          <w:bdr w:val="none" w:sz="0" w:space="0" w:color="auto"/>
          <w:vertAlign w:val="superscript"/>
        </w:rPr>
        <w:footnoteReference w:id="23"/>
      </w:r>
      <w:r w:rsidRPr="000B0B88">
        <w:rPr>
          <w:bdr w:val="none" w:sz="0" w:space="0" w:color="auto"/>
          <w:lang w:val="fr-FR"/>
        </w:rPr>
        <w:t xml:space="preserve">, et le droit à la protection sociale des travailleurs de l'économie informelle est explicitement reconnu dans l'Article 13 du Protocole de Maputo, qui demande aux États de « mettre en place un système de protection et d'assurance sociale pour les femmes travaillant dans le secteur informel et de les sensibiliser pour qu'elles y adhèrent ». </w:t>
      </w:r>
      <w:r w:rsidR="004C4A1E">
        <w:t xml:space="preserve"> </w:t>
      </w:r>
      <w:r w:rsidRPr="000B0B88">
        <w:rPr>
          <w:bdr w:val="none" w:sz="0" w:space="0" w:color="auto"/>
          <w:lang w:val="fr-FR"/>
        </w:rPr>
        <w:t xml:space="preserve">Cependant, dans la réalité, les travailleurs de l'économie informelle ne bénéficient d'aucune sécurité sociale. </w:t>
      </w:r>
      <w:r w:rsidR="004C4A1E">
        <w:t xml:space="preserve"> </w:t>
      </w:r>
      <w:r w:rsidRPr="000B0B88">
        <w:rPr>
          <w:bdr w:val="none" w:sz="0" w:space="0" w:color="auto"/>
          <w:lang w:val="fr-FR"/>
        </w:rPr>
        <w:t>Selon l'OIT, 90 % des travailleurs domestiques sont exclus des systèmes de sécurité sociale.</w:t>
      </w:r>
      <w:r w:rsidR="00687D6A">
        <w:rPr>
          <w:rStyle w:val="None"/>
          <w:vertAlign w:val="superscript"/>
        </w:rPr>
        <w:footnoteReference w:id="24"/>
      </w:r>
      <w:r w:rsidR="00687D6A">
        <w:t xml:space="preserve"> </w:t>
      </w:r>
    </w:p>
    <w:p w:rsidR="003F567B" w:rsidRDefault="003F567B" w:rsidP="003F567B">
      <w:pPr>
        <w:pStyle w:val="BodyA"/>
        <w:ind w:left="720"/>
        <w:jc w:val="both"/>
        <w:rPr>
          <w:rFonts w:hint="eastAsia"/>
        </w:rPr>
      </w:pPr>
    </w:p>
    <w:p w:rsidR="000B0B88" w:rsidRPr="000B0B88" w:rsidRDefault="000B0B88" w:rsidP="000B0B88">
      <w:pPr>
        <w:pStyle w:val="BodyA"/>
        <w:numPr>
          <w:ilvl w:val="0"/>
          <w:numId w:val="5"/>
        </w:numPr>
        <w:jc w:val="both"/>
        <w:rPr>
          <w:rFonts w:hint="eastAsia"/>
          <w:bdr w:val="none" w:sz="0" w:space="0" w:color="auto"/>
        </w:rPr>
      </w:pPr>
      <w:r w:rsidRPr="000B0B88">
        <w:rPr>
          <w:bdr w:val="none" w:sz="0" w:space="0" w:color="auto"/>
          <w:lang w:val="fr-FR"/>
        </w:rPr>
        <w:t xml:space="preserve">La Covid 19 a mis en évidence le faible niveau de protection sociale et la vulnérabilité des travailleurs indépendants, mais aussi leur résilience. </w:t>
      </w:r>
      <w:r w:rsidR="004C4A1E">
        <w:t xml:space="preserve"> </w:t>
      </w:r>
      <w:r w:rsidRPr="000B0B88">
        <w:rPr>
          <w:bdr w:val="none" w:sz="0" w:space="0" w:color="auto"/>
          <w:lang w:val="fr-FR"/>
        </w:rPr>
        <w:t>Récemment, en février 2022, l'Union africaine a adopté un Protocole sur la protection sociale établissant le droit à une protection sociale disponible, accessible, abordable et transparente en soulignant les obligations de l'État de prendre des mesures pour garantir l'accès des travailleurs informels à une protection sociale.</w:t>
      </w:r>
    </w:p>
    <w:p w:rsidR="003F567B" w:rsidRPr="000B0B88" w:rsidRDefault="003F567B" w:rsidP="000B0B88">
      <w:pPr>
        <w:pStyle w:val="BodyA"/>
        <w:jc w:val="both"/>
        <w:rPr>
          <w:rFonts w:hint="eastAsia"/>
          <w:color w:val="FFFFFF"/>
          <w:sz w:val="6"/>
        </w:rPr>
      </w:pPr>
    </w:p>
    <w:p w:rsidR="00C51A95" w:rsidRPr="007D0DE4" w:rsidRDefault="000B0B88" w:rsidP="007D0DE4">
      <w:pPr>
        <w:pStyle w:val="BodyA"/>
        <w:numPr>
          <w:ilvl w:val="0"/>
          <w:numId w:val="5"/>
        </w:numPr>
        <w:jc w:val="both"/>
        <w:rPr>
          <w:rStyle w:val="None"/>
          <w:rFonts w:hint="eastAsia"/>
        </w:rPr>
      </w:pPr>
      <w:r w:rsidRPr="007D0DE4">
        <w:rPr>
          <w:rStyle w:val="None"/>
          <w:bCs/>
          <w:bdr w:val="none" w:sz="0" w:space="0" w:color="auto"/>
          <w:lang w:val="fr-FR"/>
        </w:rPr>
        <w:t>C'est dans ce contexte que le Secrétariat de la Commission organise un webinaire sur le droit au travail.</w:t>
      </w:r>
    </w:p>
    <w:p w:rsidR="00C51A95" w:rsidRPr="00911FE6" w:rsidRDefault="00C51A95" w:rsidP="00B153C7">
      <w:pPr>
        <w:pStyle w:val="BodyA"/>
        <w:jc w:val="both"/>
        <w:rPr>
          <w:rFonts w:hint="eastAsia"/>
        </w:rPr>
      </w:pPr>
    </w:p>
    <w:p w:rsidR="00F476E1" w:rsidRDefault="00F476E1" w:rsidP="00B153C7">
      <w:pPr>
        <w:pStyle w:val="BodyA"/>
        <w:jc w:val="both"/>
        <w:rPr>
          <w:rFonts w:hint="eastAsia"/>
        </w:rPr>
      </w:pPr>
    </w:p>
    <w:p w:rsidR="00F476E1" w:rsidRPr="007D0DE4" w:rsidRDefault="007D0DE4" w:rsidP="007D0DE4">
      <w:pPr>
        <w:pStyle w:val="BodyA"/>
        <w:jc w:val="both"/>
        <w:rPr>
          <w:rFonts w:hint="eastAsia"/>
        </w:rPr>
      </w:pPr>
      <w:r w:rsidRPr="007D0DE4">
        <w:rPr>
          <w:rFonts w:hint="eastAsia"/>
          <w:b/>
          <w:bdr w:val="none" w:sz="0" w:space="0" w:color="auto"/>
          <w:lang w:val="fr-FR"/>
        </w:rPr>
        <w:t>B.</w:t>
      </w:r>
      <w:r w:rsidR="00F476E1" w:rsidRPr="007D0DE4">
        <w:rPr>
          <w:b/>
        </w:rPr>
        <w:tab/>
      </w:r>
      <w:r w:rsidRPr="007D0DE4">
        <w:rPr>
          <w:b/>
          <w:bdr w:val="none" w:sz="0" w:space="0" w:color="auto"/>
          <w:lang w:val="fr-FR"/>
        </w:rPr>
        <w:t>Objectifs du webinaire sur le</w:t>
      </w:r>
      <w:r w:rsidRPr="007D0DE4">
        <w:rPr>
          <w:rFonts w:hint="eastAsia"/>
          <w:b/>
          <w:bdr w:val="none" w:sz="0" w:space="0" w:color="auto"/>
          <w:lang w:val="fr-FR"/>
        </w:rPr>
        <w:t xml:space="preserve"> travail dans l</w:t>
      </w:r>
      <w:r w:rsidRPr="007D0DE4">
        <w:rPr>
          <w:rFonts w:hint="eastAsia"/>
          <w:b/>
          <w:bdr w:val="none" w:sz="0" w:space="0" w:color="auto"/>
          <w:lang w:val="fr-FR"/>
        </w:rPr>
        <w:t>’</w:t>
      </w:r>
      <w:r w:rsidRPr="007D0DE4">
        <w:rPr>
          <w:rFonts w:hint="eastAsia"/>
          <w:b/>
          <w:bdr w:val="none" w:sz="0" w:space="0" w:color="auto"/>
          <w:lang w:val="fr-FR"/>
        </w:rPr>
        <w:t>économie informelle et le droit au travail en Afrique</w:t>
      </w:r>
    </w:p>
    <w:p w:rsidR="00F034E3" w:rsidRDefault="00F034E3" w:rsidP="00B153C7">
      <w:pPr>
        <w:pStyle w:val="BodyA"/>
        <w:jc w:val="both"/>
        <w:rPr>
          <w:rFonts w:hint="eastAsia"/>
        </w:rPr>
      </w:pPr>
    </w:p>
    <w:p w:rsidR="00F034E3" w:rsidRPr="007D0DE4" w:rsidRDefault="007D0DE4" w:rsidP="007D0DE4">
      <w:pPr>
        <w:pStyle w:val="BodyA"/>
        <w:numPr>
          <w:ilvl w:val="0"/>
          <w:numId w:val="5"/>
        </w:numPr>
        <w:jc w:val="both"/>
        <w:rPr>
          <w:rFonts w:hint="eastAsia"/>
        </w:rPr>
      </w:pPr>
      <w:r w:rsidRPr="007D0DE4">
        <w:rPr>
          <w:bdr w:val="none" w:sz="0" w:space="0" w:color="auto"/>
          <w:lang w:val="fr-FR"/>
        </w:rPr>
        <w:t>L'objectif général du webinaire est d'examiner les causes et les conséquences du travail dans l'économie informelle, à la lumière du respect, de la protection et de la réalisation des droits de l'homme et des peuples sur le continent africain, et de proposer des solutions, dans le but de rationaliser ces considérations dans le cadre des travaux de la Commission.</w:t>
      </w:r>
    </w:p>
    <w:p w:rsidR="003F567B" w:rsidRDefault="003F567B" w:rsidP="003F567B">
      <w:pPr>
        <w:pStyle w:val="BodyA"/>
        <w:ind w:left="720"/>
        <w:jc w:val="both"/>
        <w:rPr>
          <w:rFonts w:hint="eastAsia"/>
        </w:rPr>
      </w:pPr>
    </w:p>
    <w:p w:rsidR="00F034E3" w:rsidRPr="003F567B" w:rsidRDefault="007D0DE4" w:rsidP="007D0DE4">
      <w:pPr>
        <w:pStyle w:val="BodyA"/>
        <w:numPr>
          <w:ilvl w:val="0"/>
          <w:numId w:val="5"/>
        </w:numPr>
        <w:jc w:val="both"/>
        <w:rPr>
          <w:rStyle w:val="None"/>
          <w:rFonts w:hint="eastAsia"/>
        </w:rPr>
      </w:pPr>
      <w:r w:rsidRPr="007D0DE4">
        <w:rPr>
          <w:bdr w:val="none" w:sz="0" w:space="0" w:color="auto"/>
          <w:lang w:val="fr-FR"/>
        </w:rPr>
        <w:t>Le webinaire explorera les conséquences de la non-reconnaissance généralisée des droits des travailleurs pour la majorité des travailleurs dans le contexte africain, en particulier les groupes marginalisés et vulnérables tels que les femmes et les enfants, qui restent exclus des droits collectifs du travail, des droits à la non-discrimination au travail, au travail dans des conditions justes et favorables et à la protection sociale.</w:t>
      </w:r>
      <w:r w:rsidR="00F034E3" w:rsidRPr="003F567B">
        <w:rPr>
          <w:rStyle w:val="None"/>
          <w:i/>
          <w:iCs/>
        </w:rPr>
        <w:t xml:space="preserve"> </w:t>
      </w:r>
    </w:p>
    <w:p w:rsidR="003F567B" w:rsidRDefault="003F567B" w:rsidP="003F567B">
      <w:pPr>
        <w:pStyle w:val="Paragraphedeliste"/>
        <w:rPr>
          <w:rStyle w:val="None"/>
        </w:rPr>
      </w:pPr>
    </w:p>
    <w:p w:rsidR="00F034E3" w:rsidRPr="007D0DE4" w:rsidRDefault="007D0DE4" w:rsidP="007D0DE4">
      <w:pPr>
        <w:pStyle w:val="BodyA"/>
        <w:numPr>
          <w:ilvl w:val="0"/>
          <w:numId w:val="5"/>
        </w:numPr>
        <w:jc w:val="both"/>
        <w:rPr>
          <w:rFonts w:hint="eastAsia"/>
        </w:rPr>
      </w:pPr>
      <w:r w:rsidRPr="007D0DE4">
        <w:rPr>
          <w:rStyle w:val="None"/>
          <w:iCs/>
          <w:bdr w:val="none" w:sz="0" w:space="0" w:color="auto"/>
          <w:lang w:val="fr-FR"/>
        </w:rPr>
        <w:t>Le webinaire examinera également les avancées récentes de la législation et de la jurisprudence au niveau national et régional sur les travailleurs de l'économie informelle, et discutera de la voie à suivre dans le cadre des instruments et des institutions africaines des droits de l'homme.</w:t>
      </w:r>
    </w:p>
    <w:p w:rsidR="00E74327" w:rsidRDefault="00F476E1" w:rsidP="00B153C7">
      <w:pPr>
        <w:pStyle w:val="BodyA"/>
        <w:jc w:val="both"/>
        <w:rPr>
          <w:rStyle w:val="None"/>
          <w:rFonts w:hint="eastAsia"/>
          <w:b/>
          <w:bCs/>
        </w:rPr>
      </w:pPr>
      <w:r>
        <w:tab/>
      </w:r>
    </w:p>
    <w:p w:rsidR="004D6001" w:rsidRPr="003F567B" w:rsidRDefault="007D0DE4" w:rsidP="007D0DE4">
      <w:pPr>
        <w:pStyle w:val="BodyA"/>
        <w:jc w:val="both"/>
        <w:rPr>
          <w:rStyle w:val="None"/>
          <w:rFonts w:hint="eastAsia"/>
          <w:b/>
          <w:bCs/>
        </w:rPr>
      </w:pPr>
      <w:r w:rsidRPr="007D0DE4">
        <w:rPr>
          <w:rStyle w:val="None"/>
          <w:rFonts w:hint="eastAsia"/>
          <w:b/>
          <w:bCs/>
          <w:bdr w:val="none" w:sz="0" w:space="0" w:color="auto"/>
          <w:lang w:val="fr-FR"/>
        </w:rPr>
        <w:t>C.</w:t>
      </w:r>
      <w:r w:rsidR="004D6001" w:rsidRPr="007D0DE4">
        <w:rPr>
          <w:rStyle w:val="None"/>
          <w:b/>
          <w:bCs/>
        </w:rPr>
        <w:tab/>
      </w:r>
      <w:r w:rsidRPr="007D0DE4">
        <w:rPr>
          <w:rStyle w:val="None"/>
          <w:rFonts w:hint="eastAsia"/>
          <w:b/>
          <w:bCs/>
          <w:bdr w:val="none" w:sz="0" w:space="0" w:color="auto"/>
          <w:lang w:val="fr-FR"/>
        </w:rPr>
        <w:t>Réalisations et r</w:t>
      </w:r>
      <w:r w:rsidRPr="007D0DE4">
        <w:rPr>
          <w:rStyle w:val="None"/>
          <w:b/>
          <w:bCs/>
          <w:bdr w:val="none" w:sz="0" w:space="0" w:color="auto"/>
          <w:lang w:val="fr-FR"/>
        </w:rPr>
        <w:t>é</w:t>
      </w:r>
      <w:r w:rsidRPr="007D0DE4">
        <w:rPr>
          <w:rStyle w:val="None"/>
          <w:rFonts w:hint="eastAsia"/>
          <w:b/>
          <w:bCs/>
          <w:bdr w:val="none" w:sz="0" w:space="0" w:color="auto"/>
          <w:lang w:val="fr-FR"/>
        </w:rPr>
        <w:t>sultats attendus</w:t>
      </w:r>
      <w:r w:rsidR="004D6001" w:rsidRPr="003F567B">
        <w:rPr>
          <w:rStyle w:val="None"/>
          <w:b/>
          <w:bCs/>
        </w:rPr>
        <w:t xml:space="preserve"> </w:t>
      </w:r>
    </w:p>
    <w:p w:rsidR="004D6001" w:rsidRPr="00B153C7" w:rsidRDefault="004D6001" w:rsidP="00B153C7">
      <w:pPr>
        <w:pStyle w:val="BodyA"/>
        <w:jc w:val="both"/>
        <w:rPr>
          <w:rStyle w:val="None"/>
          <w:rFonts w:hint="eastAsia"/>
          <w:bCs/>
        </w:rPr>
      </w:pPr>
    </w:p>
    <w:p w:rsidR="00291E22" w:rsidRDefault="007D0DE4" w:rsidP="007D0DE4">
      <w:pPr>
        <w:pStyle w:val="BodyA"/>
        <w:numPr>
          <w:ilvl w:val="0"/>
          <w:numId w:val="5"/>
        </w:numPr>
        <w:jc w:val="both"/>
        <w:rPr>
          <w:rStyle w:val="None"/>
          <w:rFonts w:hint="eastAsia"/>
          <w:bCs/>
        </w:rPr>
      </w:pPr>
      <w:r w:rsidRPr="007D0DE4">
        <w:rPr>
          <w:rStyle w:val="None"/>
          <w:bCs/>
          <w:bdr w:val="none" w:sz="0" w:space="0" w:color="auto"/>
          <w:lang w:val="fr-FR"/>
        </w:rPr>
        <w:t xml:space="preserve">Le résultat global attendu du webinaire consistera en recommandations d'actions visant à protéger et à promouvoir les droits de l'homme et des peuples dans le contexte du droit de travailler dans des conditions équitables et satisfaisantes et de recevoir un salaire égal pour un travail égal, le droit à une protection sociale et le rôle de la Commission. </w:t>
      </w:r>
      <w:r w:rsidR="004D6001" w:rsidRPr="00B153C7">
        <w:rPr>
          <w:rStyle w:val="None"/>
          <w:bCs/>
        </w:rPr>
        <w:t xml:space="preserve"> </w:t>
      </w:r>
    </w:p>
    <w:p w:rsidR="003F567B" w:rsidRDefault="003F567B" w:rsidP="003F567B">
      <w:pPr>
        <w:pStyle w:val="BodyA"/>
        <w:ind w:left="720"/>
        <w:jc w:val="both"/>
        <w:rPr>
          <w:rStyle w:val="None"/>
          <w:rFonts w:hint="eastAsia"/>
          <w:bCs/>
        </w:rPr>
      </w:pPr>
    </w:p>
    <w:p w:rsidR="00F859A7" w:rsidRDefault="007D0DE4" w:rsidP="007D0DE4">
      <w:pPr>
        <w:pStyle w:val="BodyA"/>
        <w:numPr>
          <w:ilvl w:val="0"/>
          <w:numId w:val="5"/>
        </w:numPr>
        <w:jc w:val="both"/>
        <w:rPr>
          <w:rStyle w:val="None"/>
          <w:rFonts w:hint="eastAsia"/>
          <w:bCs/>
        </w:rPr>
      </w:pPr>
      <w:r w:rsidRPr="007D0DE4">
        <w:rPr>
          <w:rStyle w:val="None"/>
          <w:bCs/>
          <w:bdr w:val="none" w:sz="0" w:space="0" w:color="auto"/>
          <w:lang w:val="fr-FR"/>
        </w:rPr>
        <w:t>Le Communiqué du webinaire visera à permettre à la Commission et à ses parties prenantes de bien comprendre les implications considérables du travail dans l'économie informelle pour la réalisation des droits de l'homme et la meilleure cause d'action pouvant être utilisée comme outil pour intégrer les préoccupations relatives au travail dans l'économie informelle dans le travail de promotion et de protection de la Commission.</w:t>
      </w:r>
      <w:r w:rsidR="004D6001" w:rsidRPr="003F567B">
        <w:rPr>
          <w:rStyle w:val="None"/>
          <w:bCs/>
        </w:rPr>
        <w:t xml:space="preserve"> </w:t>
      </w:r>
    </w:p>
    <w:p w:rsidR="00643FBA" w:rsidRDefault="00643FBA" w:rsidP="00643FBA">
      <w:pPr>
        <w:pStyle w:val="Paragraphedeliste"/>
        <w:rPr>
          <w:rStyle w:val="None"/>
          <w:bCs/>
        </w:rPr>
      </w:pPr>
    </w:p>
    <w:p w:rsidR="004D6001" w:rsidRPr="007D0DE4" w:rsidRDefault="007D0DE4" w:rsidP="007D0DE4">
      <w:pPr>
        <w:pStyle w:val="BodyA"/>
        <w:numPr>
          <w:ilvl w:val="0"/>
          <w:numId w:val="5"/>
        </w:numPr>
        <w:jc w:val="both"/>
        <w:rPr>
          <w:rStyle w:val="None"/>
          <w:rFonts w:hint="eastAsia"/>
          <w:bCs/>
        </w:rPr>
      </w:pPr>
      <w:r w:rsidRPr="007D0DE4">
        <w:rPr>
          <w:rStyle w:val="None"/>
          <w:bCs/>
          <w:bdr w:val="none" w:sz="0" w:space="0" w:color="auto"/>
          <w:lang w:val="fr-FR"/>
        </w:rPr>
        <w:t>Les documents finaux devraient également être essentiels à la promotion d'une approche fondée sur les droits de l'homme pour relever les défis du travail dans l'économie informelle en Afrique.</w:t>
      </w:r>
    </w:p>
    <w:p w:rsidR="004D6001" w:rsidRPr="00B153C7" w:rsidRDefault="004D6001" w:rsidP="00B153C7">
      <w:pPr>
        <w:pStyle w:val="BodyA"/>
        <w:jc w:val="both"/>
        <w:rPr>
          <w:rStyle w:val="None"/>
          <w:rFonts w:hint="eastAsia"/>
          <w:bCs/>
        </w:rPr>
      </w:pPr>
    </w:p>
    <w:p w:rsidR="004D6001" w:rsidRPr="007D0DE4" w:rsidRDefault="007D0DE4" w:rsidP="007D0DE4">
      <w:pPr>
        <w:pStyle w:val="BodyA"/>
        <w:jc w:val="both"/>
        <w:rPr>
          <w:rStyle w:val="None"/>
          <w:rFonts w:hint="eastAsia"/>
          <w:b/>
          <w:bCs/>
        </w:rPr>
      </w:pPr>
      <w:r w:rsidRPr="007D0DE4">
        <w:rPr>
          <w:rStyle w:val="None"/>
          <w:rFonts w:hint="eastAsia"/>
          <w:b/>
          <w:bCs/>
          <w:bdr w:val="none" w:sz="0" w:space="0" w:color="auto"/>
          <w:lang w:val="fr-FR"/>
        </w:rPr>
        <w:t>D.</w:t>
      </w:r>
      <w:r w:rsidR="004D6001" w:rsidRPr="007D0DE4">
        <w:rPr>
          <w:rStyle w:val="None"/>
          <w:b/>
          <w:bCs/>
        </w:rPr>
        <w:tab/>
      </w:r>
      <w:r w:rsidRPr="007D0DE4">
        <w:rPr>
          <w:rStyle w:val="None"/>
          <w:rFonts w:hint="eastAsia"/>
          <w:b/>
          <w:bCs/>
          <w:bdr w:val="none" w:sz="0" w:space="0" w:color="auto"/>
          <w:lang w:val="fr-FR"/>
        </w:rPr>
        <w:t>Méthodologie, thème et sujets de discussion</w:t>
      </w:r>
    </w:p>
    <w:p w:rsidR="004D6001" w:rsidRPr="00B153C7" w:rsidRDefault="004D6001" w:rsidP="00B153C7">
      <w:pPr>
        <w:pStyle w:val="BodyA"/>
        <w:jc w:val="both"/>
        <w:rPr>
          <w:rStyle w:val="None"/>
          <w:rFonts w:hint="eastAsia"/>
          <w:bCs/>
        </w:rPr>
      </w:pPr>
    </w:p>
    <w:p w:rsidR="004D6001" w:rsidRPr="007D0DE4" w:rsidRDefault="007D0DE4" w:rsidP="007D0DE4">
      <w:pPr>
        <w:pStyle w:val="BodyA"/>
        <w:numPr>
          <w:ilvl w:val="0"/>
          <w:numId w:val="5"/>
        </w:numPr>
        <w:jc w:val="both"/>
        <w:rPr>
          <w:rStyle w:val="None"/>
          <w:rFonts w:hint="eastAsia"/>
          <w:bCs/>
        </w:rPr>
      </w:pPr>
      <w:r w:rsidRPr="007D0DE4">
        <w:rPr>
          <w:rStyle w:val="None"/>
          <w:rFonts w:hint="eastAsia"/>
          <w:bCs/>
          <w:bdr w:val="none" w:sz="0" w:space="0" w:color="auto"/>
          <w:lang w:val="fr-FR"/>
        </w:rPr>
        <w:lastRenderedPageBreak/>
        <w:t>L</w:t>
      </w:r>
      <w:r w:rsidRPr="007D0DE4">
        <w:rPr>
          <w:rStyle w:val="None"/>
          <w:bCs/>
          <w:bdr w:val="none" w:sz="0" w:space="0" w:color="auto"/>
          <w:lang w:val="fr-FR"/>
        </w:rPr>
        <w:t>e</w:t>
      </w:r>
      <w:r w:rsidRPr="007D0DE4">
        <w:rPr>
          <w:rStyle w:val="None"/>
          <w:rFonts w:hint="eastAsia"/>
          <w:bCs/>
          <w:bdr w:val="none" w:sz="0" w:space="0" w:color="auto"/>
          <w:lang w:val="fr-FR"/>
        </w:rPr>
        <w:t xml:space="preserve"> </w:t>
      </w:r>
      <w:r w:rsidRPr="007D0DE4">
        <w:rPr>
          <w:rStyle w:val="None"/>
          <w:bCs/>
          <w:bdr w:val="none" w:sz="0" w:space="0" w:color="auto"/>
          <w:lang w:val="fr-FR"/>
        </w:rPr>
        <w:t>webinaire</w:t>
      </w:r>
      <w:r w:rsidRPr="007D0DE4">
        <w:rPr>
          <w:rStyle w:val="None"/>
          <w:rFonts w:hint="eastAsia"/>
          <w:bCs/>
          <w:bdr w:val="none" w:sz="0" w:space="0" w:color="auto"/>
          <w:lang w:val="fr-FR"/>
        </w:rPr>
        <w:t xml:space="preserve"> sera à la fois consultati</w:t>
      </w:r>
      <w:r w:rsidRPr="007D0DE4">
        <w:rPr>
          <w:rStyle w:val="None"/>
          <w:bCs/>
          <w:bdr w:val="none" w:sz="0" w:space="0" w:color="auto"/>
          <w:lang w:val="fr-FR"/>
        </w:rPr>
        <w:t>f</w:t>
      </w:r>
      <w:r w:rsidRPr="007D0DE4">
        <w:rPr>
          <w:rStyle w:val="None"/>
          <w:rFonts w:hint="eastAsia"/>
          <w:bCs/>
          <w:bdr w:val="none" w:sz="0" w:space="0" w:color="auto"/>
          <w:lang w:val="fr-FR"/>
        </w:rPr>
        <w:t xml:space="preserve"> et participati</w:t>
      </w:r>
      <w:r w:rsidRPr="007D0DE4">
        <w:rPr>
          <w:rStyle w:val="None"/>
          <w:bCs/>
          <w:bdr w:val="none" w:sz="0" w:space="0" w:color="auto"/>
          <w:lang w:val="fr-FR"/>
        </w:rPr>
        <w:t>f</w:t>
      </w:r>
      <w:r w:rsidRPr="007D0DE4">
        <w:rPr>
          <w:rStyle w:val="None"/>
          <w:rFonts w:hint="eastAsia"/>
          <w:bCs/>
          <w:bdr w:val="none" w:sz="0" w:space="0" w:color="auto"/>
          <w:lang w:val="fr-FR"/>
        </w:rPr>
        <w:t xml:space="preserve"> afin de faciliter l'échange d'informations et d'expériences.</w:t>
      </w:r>
      <w:r w:rsidR="004D6001" w:rsidRPr="007D0DE4">
        <w:rPr>
          <w:rStyle w:val="None"/>
          <w:bCs/>
        </w:rPr>
        <w:t xml:space="preserve"> </w:t>
      </w:r>
      <w:r w:rsidRPr="007D0DE4">
        <w:rPr>
          <w:rStyle w:val="None"/>
          <w:rFonts w:hint="eastAsia"/>
          <w:bCs/>
          <w:bdr w:val="none" w:sz="0" w:space="0" w:color="auto"/>
          <w:lang w:val="fr-FR"/>
        </w:rPr>
        <w:t>Des personnes ressources feront des présentations sur des thèmes sélectionnés, suivies de discussions entre les participants.</w:t>
      </w:r>
    </w:p>
    <w:p w:rsidR="004D6001" w:rsidRPr="00B153C7" w:rsidRDefault="004D6001" w:rsidP="00B153C7">
      <w:pPr>
        <w:pStyle w:val="BodyA"/>
        <w:jc w:val="both"/>
        <w:rPr>
          <w:rStyle w:val="None"/>
          <w:rFonts w:hint="eastAsia"/>
          <w:bCs/>
        </w:rPr>
      </w:pPr>
    </w:p>
    <w:p w:rsidR="004D6001" w:rsidRPr="00067A25" w:rsidRDefault="007D0DE4" w:rsidP="007D0DE4">
      <w:pPr>
        <w:pStyle w:val="BodyA"/>
        <w:jc w:val="both"/>
        <w:rPr>
          <w:rStyle w:val="None"/>
          <w:rFonts w:hint="eastAsia"/>
          <w:b/>
          <w:bCs/>
        </w:rPr>
      </w:pPr>
      <w:r w:rsidRPr="007D0DE4">
        <w:rPr>
          <w:rStyle w:val="None"/>
          <w:b/>
          <w:bCs/>
          <w:bdr w:val="none" w:sz="0" w:space="0" w:color="auto"/>
          <w:lang w:val="fr-FR"/>
        </w:rPr>
        <w:t>E.</w:t>
      </w:r>
      <w:r w:rsidR="004D6001" w:rsidRPr="007D0DE4">
        <w:rPr>
          <w:rStyle w:val="None"/>
          <w:b/>
          <w:bCs/>
        </w:rPr>
        <w:tab/>
      </w:r>
      <w:r w:rsidRPr="007D0DE4">
        <w:rPr>
          <w:rStyle w:val="None"/>
          <w:b/>
          <w:bCs/>
          <w:bdr w:val="none" w:sz="0" w:space="0" w:color="auto"/>
          <w:lang w:val="fr-FR"/>
        </w:rPr>
        <w:t>P</w:t>
      </w:r>
      <w:r w:rsidRPr="007D0DE4">
        <w:rPr>
          <w:rStyle w:val="None"/>
          <w:rFonts w:hint="eastAsia"/>
          <w:b/>
          <w:bCs/>
          <w:bdr w:val="none" w:sz="0" w:space="0" w:color="auto"/>
          <w:lang w:val="fr-FR"/>
        </w:rPr>
        <w:t>articipants</w:t>
      </w:r>
      <w:r w:rsidRPr="007D0DE4">
        <w:rPr>
          <w:rStyle w:val="None"/>
          <w:b/>
          <w:bCs/>
          <w:bdr w:val="none" w:sz="0" w:space="0" w:color="auto"/>
          <w:lang w:val="fr-FR"/>
        </w:rPr>
        <w:t xml:space="preserve"> au webinaire</w:t>
      </w:r>
      <w:r w:rsidR="004D6001" w:rsidRPr="00067A25">
        <w:rPr>
          <w:rStyle w:val="None"/>
          <w:b/>
          <w:bCs/>
        </w:rPr>
        <w:t xml:space="preserve"> </w:t>
      </w:r>
    </w:p>
    <w:p w:rsidR="004D6001" w:rsidRPr="00B153C7" w:rsidRDefault="004D6001" w:rsidP="00B153C7">
      <w:pPr>
        <w:pStyle w:val="BodyA"/>
        <w:jc w:val="both"/>
        <w:rPr>
          <w:rStyle w:val="None"/>
          <w:rFonts w:hint="eastAsia"/>
          <w:bCs/>
        </w:rPr>
      </w:pPr>
    </w:p>
    <w:p w:rsidR="004D6001" w:rsidRPr="007D0DE4" w:rsidRDefault="007D0DE4" w:rsidP="007D0DE4">
      <w:pPr>
        <w:pStyle w:val="BodyA"/>
        <w:numPr>
          <w:ilvl w:val="0"/>
          <w:numId w:val="5"/>
        </w:numPr>
        <w:jc w:val="both"/>
        <w:rPr>
          <w:rStyle w:val="None"/>
          <w:rFonts w:hint="eastAsia"/>
          <w:bCs/>
        </w:rPr>
      </w:pPr>
      <w:r w:rsidRPr="007D0DE4">
        <w:rPr>
          <w:rStyle w:val="None"/>
          <w:bCs/>
          <w:bdr w:val="none" w:sz="0" w:space="0" w:color="auto"/>
          <w:lang w:val="fr-FR"/>
        </w:rPr>
        <w:t>Les participants au webinaire comprendront le Groupe de travail sur l'ECOSOC, des membres d'autres Mécanismes spéciaux traitant des questions thématiques les plus affectées par le travail dans l'économie informelle, des représentants des États parties à la Charte africaine, des représentants des Institutions nationales des droits de l'homme, le Solidarity Center de solidarité, des experts indépendants sélectionnés et le personnel du Secrétariat de la CADHP.</w:t>
      </w:r>
    </w:p>
    <w:p w:rsidR="004D6001" w:rsidRPr="00B153C7" w:rsidRDefault="004D6001" w:rsidP="00B153C7">
      <w:pPr>
        <w:pStyle w:val="BodyA"/>
        <w:jc w:val="both"/>
        <w:rPr>
          <w:rStyle w:val="None"/>
          <w:rFonts w:hint="eastAsia"/>
          <w:bCs/>
        </w:rPr>
      </w:pPr>
    </w:p>
    <w:p w:rsidR="004D6001" w:rsidRPr="007D0DE4" w:rsidRDefault="007D0DE4" w:rsidP="007D0DE4">
      <w:pPr>
        <w:pStyle w:val="BodyA"/>
        <w:jc w:val="both"/>
        <w:rPr>
          <w:rStyle w:val="None"/>
          <w:rFonts w:hint="eastAsia"/>
          <w:b/>
          <w:bCs/>
        </w:rPr>
      </w:pPr>
      <w:r w:rsidRPr="007D0DE4">
        <w:rPr>
          <w:rStyle w:val="None"/>
          <w:b/>
          <w:bCs/>
          <w:bdr w:val="none" w:sz="0" w:space="0" w:color="auto"/>
          <w:lang w:val="fr-FR"/>
        </w:rPr>
        <w:t>F.</w:t>
      </w:r>
      <w:r w:rsidR="004D6001" w:rsidRPr="007D0DE4">
        <w:rPr>
          <w:rStyle w:val="None"/>
          <w:b/>
          <w:bCs/>
        </w:rPr>
        <w:tab/>
      </w:r>
      <w:r w:rsidRPr="007D0DE4">
        <w:rPr>
          <w:rStyle w:val="None"/>
          <w:b/>
          <w:bCs/>
          <w:bdr w:val="none" w:sz="0" w:space="0" w:color="auto"/>
          <w:lang w:val="fr-FR"/>
        </w:rPr>
        <w:t>Date et langues</w:t>
      </w:r>
    </w:p>
    <w:p w:rsidR="004D6001" w:rsidRPr="00B153C7" w:rsidRDefault="004D6001" w:rsidP="00B153C7">
      <w:pPr>
        <w:pStyle w:val="BodyA"/>
        <w:jc w:val="both"/>
        <w:rPr>
          <w:rStyle w:val="None"/>
          <w:rFonts w:hint="eastAsia"/>
          <w:bCs/>
        </w:rPr>
      </w:pPr>
    </w:p>
    <w:p w:rsidR="007B67D6" w:rsidRPr="007D0DE4" w:rsidRDefault="007D0DE4" w:rsidP="007D0DE4">
      <w:pPr>
        <w:pStyle w:val="BodyA"/>
        <w:ind w:left="720"/>
        <w:jc w:val="both"/>
        <w:rPr>
          <w:rStyle w:val="None"/>
          <w:rFonts w:hint="eastAsia"/>
          <w:bCs/>
        </w:rPr>
      </w:pPr>
      <w:r w:rsidRPr="007D0DE4">
        <w:rPr>
          <w:rStyle w:val="None"/>
          <w:rFonts w:hint="eastAsia"/>
          <w:bCs/>
          <w:bdr w:val="none" w:sz="0" w:space="0" w:color="auto"/>
          <w:lang w:val="fr-FR"/>
        </w:rPr>
        <w:t>Date :</w:t>
      </w:r>
      <w:r w:rsidR="007B67D6">
        <w:rPr>
          <w:rStyle w:val="None"/>
          <w:bCs/>
        </w:rPr>
        <w:t xml:space="preserve">  </w:t>
      </w:r>
      <w:r w:rsidRPr="007D0DE4">
        <w:rPr>
          <w:rStyle w:val="None"/>
          <w:bCs/>
          <w:bdr w:val="none" w:sz="0" w:space="0" w:color="auto"/>
          <w:lang w:val="fr-FR"/>
        </w:rPr>
        <w:t>le 30</w:t>
      </w:r>
      <w:r w:rsidRPr="007D0DE4">
        <w:rPr>
          <w:rStyle w:val="None"/>
          <w:rFonts w:hint="eastAsia"/>
          <w:bCs/>
          <w:bdr w:val="none" w:sz="0" w:space="0" w:color="auto"/>
          <w:lang w:val="fr-FR"/>
        </w:rPr>
        <w:t xml:space="preserve"> mai 2023</w:t>
      </w:r>
      <w:r>
        <w:rPr>
          <w:rStyle w:val="None"/>
          <w:bCs/>
          <w:bdr w:val="none" w:sz="0" w:space="0" w:color="auto"/>
          <w:lang w:val="fr-FR"/>
        </w:rPr>
        <w:t>.</w:t>
      </w:r>
    </w:p>
    <w:p w:rsidR="007B67D6" w:rsidRPr="007D0DE4" w:rsidRDefault="007D0DE4" w:rsidP="007D0DE4">
      <w:pPr>
        <w:pStyle w:val="BodyA"/>
        <w:ind w:left="720"/>
        <w:jc w:val="both"/>
        <w:rPr>
          <w:rStyle w:val="None"/>
          <w:rFonts w:hint="eastAsia"/>
          <w:bCs/>
        </w:rPr>
      </w:pPr>
      <w:r w:rsidRPr="007D0DE4">
        <w:rPr>
          <w:rStyle w:val="None"/>
          <w:rFonts w:hint="eastAsia"/>
          <w:bCs/>
          <w:bdr w:val="none" w:sz="0" w:space="0" w:color="auto"/>
          <w:lang w:val="fr-FR"/>
        </w:rPr>
        <w:t>Heure :</w:t>
      </w:r>
      <w:r w:rsidR="007B67D6">
        <w:rPr>
          <w:rStyle w:val="None"/>
          <w:bCs/>
        </w:rPr>
        <w:t xml:space="preserve">  </w:t>
      </w:r>
      <w:r w:rsidRPr="007D0DE4">
        <w:rPr>
          <w:rStyle w:val="None"/>
          <w:bCs/>
          <w:bdr w:val="none" w:sz="0" w:space="0" w:color="auto"/>
          <w:lang w:val="fr-FR"/>
        </w:rPr>
        <w:t>12h00 – 14h00 (GMT) ; 15h00 – 17h00 (EAT) ; 14h00 – 16h00 (SAT).</w:t>
      </w:r>
    </w:p>
    <w:p w:rsidR="007B67D6" w:rsidRDefault="007B67D6" w:rsidP="007B67D6">
      <w:pPr>
        <w:pStyle w:val="BodyA"/>
        <w:ind w:left="720"/>
        <w:jc w:val="both"/>
        <w:rPr>
          <w:rStyle w:val="None"/>
          <w:rFonts w:hint="eastAsia"/>
          <w:bCs/>
        </w:rPr>
      </w:pPr>
    </w:p>
    <w:p w:rsidR="004D6001" w:rsidRPr="007D0DE4" w:rsidRDefault="007D0DE4" w:rsidP="007D0DE4">
      <w:pPr>
        <w:pStyle w:val="BodyA"/>
        <w:numPr>
          <w:ilvl w:val="0"/>
          <w:numId w:val="5"/>
        </w:numPr>
        <w:jc w:val="both"/>
        <w:rPr>
          <w:rStyle w:val="None"/>
          <w:rFonts w:hint="eastAsia"/>
          <w:bCs/>
        </w:rPr>
      </w:pPr>
      <w:r w:rsidRPr="007D0DE4">
        <w:rPr>
          <w:rStyle w:val="None"/>
          <w:rFonts w:hint="eastAsia"/>
          <w:bCs/>
          <w:bdr w:val="none" w:sz="0" w:space="0" w:color="auto"/>
          <w:lang w:val="fr-FR"/>
        </w:rPr>
        <w:t>L</w:t>
      </w:r>
      <w:r w:rsidRPr="007D0DE4">
        <w:rPr>
          <w:rStyle w:val="None"/>
          <w:bCs/>
          <w:bdr w:val="none" w:sz="0" w:space="0" w:color="auto"/>
          <w:lang w:val="fr-FR"/>
        </w:rPr>
        <w:t>e webinaire</w:t>
      </w:r>
      <w:r w:rsidRPr="007D0DE4">
        <w:rPr>
          <w:rStyle w:val="None"/>
          <w:rFonts w:hint="eastAsia"/>
          <w:bCs/>
          <w:bdr w:val="none" w:sz="0" w:space="0" w:color="auto"/>
          <w:lang w:val="fr-FR"/>
        </w:rPr>
        <w:t xml:space="preserve"> sera organisé</w:t>
      </w:r>
      <w:r w:rsidRPr="007D0DE4">
        <w:rPr>
          <w:rStyle w:val="None"/>
          <w:bCs/>
          <w:bdr w:val="none" w:sz="0" w:space="0" w:color="auto"/>
          <w:lang w:val="fr-FR"/>
        </w:rPr>
        <w:t xml:space="preserve"> en arabe, en</w:t>
      </w:r>
      <w:r w:rsidRPr="007D0DE4">
        <w:rPr>
          <w:rStyle w:val="None"/>
          <w:rFonts w:hint="eastAsia"/>
          <w:bCs/>
          <w:bdr w:val="none" w:sz="0" w:space="0" w:color="auto"/>
          <w:lang w:val="fr-FR"/>
        </w:rPr>
        <w:t xml:space="preserve"> anglais, </w:t>
      </w:r>
      <w:r w:rsidRPr="007D0DE4">
        <w:rPr>
          <w:rStyle w:val="None"/>
          <w:bCs/>
          <w:bdr w:val="none" w:sz="0" w:space="0" w:color="auto"/>
          <w:lang w:val="fr-FR"/>
        </w:rPr>
        <w:t xml:space="preserve">en </w:t>
      </w:r>
      <w:r w:rsidRPr="007D0DE4">
        <w:rPr>
          <w:rStyle w:val="None"/>
          <w:rFonts w:hint="eastAsia"/>
          <w:bCs/>
          <w:bdr w:val="none" w:sz="0" w:space="0" w:color="auto"/>
          <w:lang w:val="fr-FR"/>
        </w:rPr>
        <w:t>français</w:t>
      </w:r>
      <w:r w:rsidRPr="007D0DE4">
        <w:rPr>
          <w:rStyle w:val="None"/>
          <w:bCs/>
          <w:bdr w:val="none" w:sz="0" w:space="0" w:color="auto"/>
          <w:lang w:val="fr-FR"/>
        </w:rPr>
        <w:t xml:space="preserve"> et en</w:t>
      </w:r>
      <w:r w:rsidRPr="007D0DE4">
        <w:rPr>
          <w:rStyle w:val="None"/>
          <w:rFonts w:hint="eastAsia"/>
          <w:bCs/>
          <w:bdr w:val="none" w:sz="0" w:space="0" w:color="auto"/>
          <w:lang w:val="fr-FR"/>
        </w:rPr>
        <w:t xml:space="preserve"> portugais</w:t>
      </w:r>
      <w:r w:rsidRPr="007D0DE4">
        <w:rPr>
          <w:rStyle w:val="None"/>
          <w:bCs/>
          <w:bdr w:val="none" w:sz="0" w:space="0" w:color="auto"/>
          <w:lang w:val="fr-FR"/>
        </w:rPr>
        <w:t>.</w:t>
      </w:r>
    </w:p>
    <w:p w:rsidR="00911FE6" w:rsidRDefault="00911FE6" w:rsidP="00B153C7">
      <w:pPr>
        <w:pStyle w:val="BodyA"/>
        <w:jc w:val="both"/>
        <w:rPr>
          <w:rStyle w:val="None"/>
          <w:rFonts w:hint="eastAsia"/>
          <w:b/>
          <w:bCs/>
        </w:rPr>
      </w:pPr>
    </w:p>
    <w:p w:rsidR="00BA3357" w:rsidRPr="007D0DE4" w:rsidRDefault="007D0DE4" w:rsidP="007D0DE4">
      <w:pPr>
        <w:pStyle w:val="BodyA"/>
        <w:jc w:val="both"/>
        <w:rPr>
          <w:rStyle w:val="None"/>
          <w:rFonts w:hint="eastAsia"/>
          <w:b/>
          <w:bCs/>
        </w:rPr>
      </w:pPr>
      <w:r w:rsidRPr="007D0DE4">
        <w:rPr>
          <w:rStyle w:val="None"/>
          <w:b/>
          <w:bCs/>
          <w:bdr w:val="none" w:sz="0" w:space="0" w:color="auto"/>
          <w:lang w:val="fr-FR"/>
        </w:rPr>
        <w:t>G.</w:t>
      </w:r>
      <w:r w:rsidR="00BA3357" w:rsidRPr="007D0DE4">
        <w:rPr>
          <w:rStyle w:val="None"/>
          <w:b/>
          <w:bCs/>
        </w:rPr>
        <w:tab/>
      </w:r>
      <w:r w:rsidRPr="007D0DE4">
        <w:rPr>
          <w:rStyle w:val="None"/>
          <w:rFonts w:hint="eastAsia"/>
          <w:b/>
          <w:bCs/>
          <w:bdr w:val="none" w:sz="0" w:space="0" w:color="auto"/>
          <w:lang w:val="fr-FR"/>
        </w:rPr>
        <w:t>DOCUMENTS</w:t>
      </w:r>
    </w:p>
    <w:p w:rsidR="00E74327" w:rsidRDefault="00E74327" w:rsidP="00B153C7">
      <w:pPr>
        <w:pStyle w:val="BodyA"/>
        <w:jc w:val="both"/>
        <w:rPr>
          <w:rFonts w:hint="eastAsia"/>
        </w:rPr>
      </w:pPr>
    </w:p>
    <w:p w:rsidR="00514267" w:rsidRPr="007D0DE4" w:rsidRDefault="007D0DE4" w:rsidP="007D0DE4">
      <w:pPr>
        <w:pStyle w:val="BodyA"/>
        <w:numPr>
          <w:ilvl w:val="0"/>
          <w:numId w:val="8"/>
        </w:numPr>
        <w:jc w:val="both"/>
        <w:rPr>
          <w:rFonts w:hint="eastAsia"/>
        </w:rPr>
      </w:pPr>
      <w:r w:rsidRPr="007D0DE4">
        <w:rPr>
          <w:rFonts w:hint="eastAsia"/>
          <w:bdr w:val="none" w:sz="0" w:space="0" w:color="auto"/>
          <w:lang w:val="fr-FR"/>
        </w:rPr>
        <w:t>Charte africaine des droits de l</w:t>
      </w:r>
      <w:r w:rsidRPr="007D0DE4">
        <w:rPr>
          <w:rFonts w:hint="eastAsia"/>
          <w:bdr w:val="none" w:sz="0" w:space="0" w:color="auto"/>
          <w:lang w:val="fr-FR"/>
        </w:rPr>
        <w:t>’</w:t>
      </w:r>
      <w:r w:rsidRPr="007D0DE4">
        <w:rPr>
          <w:rFonts w:hint="eastAsia"/>
          <w:bdr w:val="none" w:sz="0" w:space="0" w:color="auto"/>
          <w:lang w:val="fr-FR"/>
        </w:rPr>
        <w:t>homme et des peuples ;</w:t>
      </w:r>
    </w:p>
    <w:p w:rsidR="00CB0D38" w:rsidRPr="007D0DE4" w:rsidRDefault="007D0DE4" w:rsidP="007D0DE4">
      <w:pPr>
        <w:pStyle w:val="BodyA"/>
        <w:numPr>
          <w:ilvl w:val="0"/>
          <w:numId w:val="8"/>
        </w:numPr>
        <w:jc w:val="both"/>
        <w:rPr>
          <w:rFonts w:hint="eastAsia"/>
        </w:rPr>
      </w:pPr>
      <w:r w:rsidRPr="007D0DE4">
        <w:rPr>
          <w:bdr w:val="none" w:sz="0" w:space="0" w:color="auto"/>
          <w:lang w:val="fr-FR"/>
        </w:rPr>
        <w:t>Déclaration du Séminaire de Pretoria sur les droits économiques, sociaux et culturels en Afrique ;</w:t>
      </w:r>
    </w:p>
    <w:p w:rsidR="00CB0D38" w:rsidRPr="007D0DE4" w:rsidRDefault="007D0DE4" w:rsidP="007D0DE4">
      <w:pPr>
        <w:pStyle w:val="BodyA"/>
        <w:numPr>
          <w:ilvl w:val="0"/>
          <w:numId w:val="8"/>
        </w:numPr>
        <w:jc w:val="both"/>
        <w:rPr>
          <w:rFonts w:hint="eastAsia"/>
        </w:rPr>
      </w:pPr>
      <w:r w:rsidRPr="007D0DE4">
        <w:rPr>
          <w:bdr w:val="none" w:sz="0" w:space="0" w:color="auto"/>
          <w:lang w:val="fr-FR"/>
        </w:rPr>
        <w:t>Projet de</w:t>
      </w:r>
      <w:r w:rsidRPr="007D0DE4">
        <w:rPr>
          <w:rFonts w:hint="eastAsia"/>
          <w:bdr w:val="none" w:sz="0" w:space="0" w:color="auto"/>
          <w:lang w:val="fr-FR"/>
        </w:rPr>
        <w:t xml:space="preserve"> Protocole a la </w:t>
      </w:r>
      <w:r w:rsidRPr="007D0DE4">
        <w:rPr>
          <w:bdr w:val="none" w:sz="0" w:space="0" w:color="auto"/>
          <w:lang w:val="fr-FR"/>
        </w:rPr>
        <w:t>C</w:t>
      </w:r>
      <w:r w:rsidRPr="007D0DE4">
        <w:rPr>
          <w:rFonts w:hint="eastAsia"/>
          <w:bdr w:val="none" w:sz="0" w:space="0" w:color="auto"/>
          <w:lang w:val="fr-FR"/>
        </w:rPr>
        <w:t xml:space="preserve">harte africaine des droits de l'homme et des peuples relatif aux droits des citoyens </w:t>
      </w:r>
      <w:r w:rsidRPr="007D0DE4">
        <w:rPr>
          <w:bdr w:val="none" w:sz="0" w:space="0" w:color="auto"/>
          <w:lang w:val="fr-FR"/>
        </w:rPr>
        <w:t>à</w:t>
      </w:r>
      <w:r w:rsidRPr="007D0DE4">
        <w:rPr>
          <w:rFonts w:hint="eastAsia"/>
          <w:bdr w:val="none" w:sz="0" w:space="0" w:color="auto"/>
          <w:lang w:val="fr-FR"/>
        </w:rPr>
        <w:t xml:space="preserve"> la protection sociale et a la s</w:t>
      </w:r>
      <w:r w:rsidRPr="007D0DE4">
        <w:rPr>
          <w:bdr w:val="none" w:sz="0" w:space="0" w:color="auto"/>
          <w:lang w:val="fr-FR"/>
        </w:rPr>
        <w:t>é</w:t>
      </w:r>
      <w:r w:rsidRPr="007D0DE4">
        <w:rPr>
          <w:rFonts w:hint="eastAsia"/>
          <w:bdr w:val="none" w:sz="0" w:space="0" w:color="auto"/>
          <w:lang w:val="fr-FR"/>
        </w:rPr>
        <w:t>curit</w:t>
      </w:r>
      <w:r w:rsidRPr="007D0DE4">
        <w:rPr>
          <w:bdr w:val="none" w:sz="0" w:space="0" w:color="auto"/>
          <w:lang w:val="fr-FR"/>
        </w:rPr>
        <w:t>é</w:t>
      </w:r>
      <w:r w:rsidRPr="007D0DE4">
        <w:rPr>
          <w:rFonts w:hint="eastAsia"/>
          <w:bdr w:val="none" w:sz="0" w:space="0" w:color="auto"/>
          <w:lang w:val="fr-FR"/>
        </w:rPr>
        <w:t xml:space="preserve"> sociale</w:t>
      </w:r>
      <w:r w:rsidRPr="007D0DE4">
        <w:rPr>
          <w:bdr w:val="none" w:sz="0" w:space="0" w:color="auto"/>
          <w:lang w:val="fr-FR"/>
        </w:rPr>
        <w:t>.</w:t>
      </w:r>
    </w:p>
    <w:p w:rsidR="00CB0D38" w:rsidRDefault="00CB0D38" w:rsidP="00CB0D38">
      <w:pPr>
        <w:pStyle w:val="BodyA"/>
        <w:jc w:val="both"/>
        <w:rPr>
          <w:rFonts w:hint="eastAsia"/>
        </w:rPr>
      </w:pPr>
    </w:p>
    <w:p w:rsidR="00B5691C" w:rsidRPr="007D0DE4" w:rsidRDefault="007D0DE4" w:rsidP="007D0DE4">
      <w:pPr>
        <w:pStyle w:val="BodyA"/>
        <w:jc w:val="both"/>
        <w:rPr>
          <w:rStyle w:val="None"/>
          <w:rFonts w:hint="eastAsia"/>
          <w:b/>
          <w:bCs/>
        </w:rPr>
      </w:pPr>
      <w:r w:rsidRPr="007D0DE4">
        <w:rPr>
          <w:rStyle w:val="None"/>
          <w:b/>
          <w:bCs/>
          <w:bdr w:val="none" w:sz="0" w:space="0" w:color="auto"/>
          <w:lang w:val="fr-FR"/>
        </w:rPr>
        <w:t>H.</w:t>
      </w:r>
      <w:r w:rsidR="00B5691C" w:rsidRPr="007D0DE4">
        <w:rPr>
          <w:rStyle w:val="None"/>
          <w:b/>
          <w:bCs/>
        </w:rPr>
        <w:tab/>
      </w:r>
      <w:r w:rsidRPr="007D0DE4">
        <w:rPr>
          <w:rStyle w:val="None"/>
          <w:rFonts w:hint="eastAsia"/>
          <w:b/>
          <w:bCs/>
          <w:bdr w:val="none" w:sz="0" w:space="0" w:color="auto"/>
          <w:lang w:val="fr-FR"/>
        </w:rPr>
        <w:t>CONTACTS</w:t>
      </w:r>
    </w:p>
    <w:p w:rsidR="00B5691C" w:rsidRDefault="00B5691C" w:rsidP="00B5691C">
      <w:pPr>
        <w:pStyle w:val="BodyA"/>
        <w:jc w:val="both"/>
        <w:rPr>
          <w:rFonts w:asciiTheme="majorHAnsi" w:eastAsia="Arial" w:hAnsiTheme="majorHAnsi" w:cs="Arial"/>
          <w:color w:val="auto"/>
          <w:sz w:val="24"/>
          <w:szCs w:val="24"/>
          <w:bdr w:val="none" w:sz="0" w:space="0" w:color="auto"/>
          <w:lang w:eastAsia="en-US"/>
        </w:rPr>
      </w:pPr>
    </w:p>
    <w:p w:rsidR="00B5691C" w:rsidRPr="007D0DE4" w:rsidRDefault="007D0DE4" w:rsidP="007D0DE4">
      <w:pPr>
        <w:pStyle w:val="BodyA"/>
        <w:ind w:firstLine="720"/>
        <w:jc w:val="both"/>
        <w:rPr>
          <w:rFonts w:asciiTheme="majorHAnsi" w:eastAsia="Arial" w:hAnsiTheme="majorHAnsi" w:cs="Arial"/>
          <w:color w:val="auto"/>
          <w:sz w:val="24"/>
          <w:szCs w:val="24"/>
          <w:bdr w:val="none" w:sz="0" w:space="0" w:color="auto"/>
          <w:lang w:eastAsia="en-US"/>
        </w:rPr>
      </w:pPr>
      <w:r w:rsidRPr="007D0DE4">
        <w:rPr>
          <w:rFonts w:asciiTheme="majorHAnsi" w:eastAsia="Arial" w:hAnsiTheme="majorHAnsi" w:cs="Arial"/>
          <w:color w:val="auto"/>
          <w:sz w:val="24"/>
          <w:szCs w:val="24"/>
          <w:bdr w:val="none" w:sz="0" w:space="0" w:color="auto"/>
          <w:lang w:val="fr-FR" w:eastAsia="en-US"/>
        </w:rPr>
        <w:t>Pour de plus amples renseignements, veuillez prendre contact avec :</w:t>
      </w:r>
    </w:p>
    <w:p w:rsidR="00B5691C" w:rsidRPr="00B5691C" w:rsidRDefault="00B5691C" w:rsidP="00B5691C">
      <w:pPr>
        <w:pStyle w:val="BodyA"/>
        <w:jc w:val="both"/>
        <w:rPr>
          <w:rFonts w:asciiTheme="majorHAnsi" w:eastAsia="Arial" w:hAnsiTheme="majorHAnsi" w:cs="Arial"/>
          <w:color w:val="auto"/>
          <w:sz w:val="24"/>
          <w:szCs w:val="24"/>
          <w:bdr w:val="none" w:sz="0" w:space="0" w:color="auto"/>
          <w:lang w:eastAsia="en-US"/>
        </w:rPr>
      </w:pPr>
    </w:p>
    <w:p w:rsidR="00B5691C" w:rsidRPr="007D0DE4" w:rsidRDefault="007D0DE4" w:rsidP="007D0DE4">
      <w:pPr>
        <w:pStyle w:val="BodyA"/>
        <w:ind w:firstLine="720"/>
        <w:jc w:val="both"/>
        <w:rPr>
          <w:rFonts w:asciiTheme="majorHAnsi" w:eastAsia="Arial" w:hAnsiTheme="majorHAnsi" w:cs="Arial"/>
          <w:sz w:val="24"/>
          <w:szCs w:val="24"/>
          <w:bdr w:val="none" w:sz="0" w:space="0" w:color="auto"/>
          <w:lang w:val="fr-FR" w:eastAsia="en-US"/>
        </w:rPr>
      </w:pPr>
      <w:r w:rsidRPr="007D0DE4">
        <w:rPr>
          <w:rFonts w:asciiTheme="majorHAnsi" w:eastAsia="Arial" w:hAnsiTheme="majorHAnsi" w:cs="Arial"/>
          <w:color w:val="auto"/>
          <w:sz w:val="24"/>
          <w:szCs w:val="24"/>
          <w:bdr w:val="none" w:sz="0" w:space="0" w:color="auto"/>
          <w:lang w:val="fr-FR" w:eastAsia="en-US"/>
        </w:rPr>
        <w:t>Aminata Jawara-Manga</w:t>
      </w:r>
      <w:r w:rsidR="00476FF7">
        <w:rPr>
          <w:rFonts w:asciiTheme="majorHAnsi" w:eastAsia="Arial" w:hAnsiTheme="majorHAnsi" w:cs="Arial"/>
          <w:color w:val="auto"/>
          <w:sz w:val="24"/>
          <w:szCs w:val="24"/>
          <w:bdr w:val="none" w:sz="0" w:space="0" w:color="auto"/>
          <w:lang w:val="fr-FR" w:eastAsia="en-US"/>
        </w:rPr>
        <w:tab/>
      </w:r>
      <w:r w:rsidRPr="007D0DE4">
        <w:rPr>
          <w:rFonts w:asciiTheme="majorHAnsi" w:eastAsia="Arial" w:hAnsiTheme="majorHAnsi" w:cs="Arial"/>
          <w:color w:val="auto"/>
          <w:sz w:val="24"/>
          <w:szCs w:val="24"/>
          <w:bdr w:val="none" w:sz="0" w:space="0" w:color="auto"/>
          <w:lang w:val="fr-FR" w:eastAsia="en-US"/>
        </w:rPr>
        <w:t>E-mail :</w:t>
      </w:r>
      <w:r w:rsidR="00B5691C" w:rsidRPr="00B5691C">
        <w:rPr>
          <w:rFonts w:asciiTheme="majorHAnsi" w:eastAsia="Arial" w:hAnsiTheme="majorHAnsi" w:cs="Arial"/>
          <w:color w:val="auto"/>
          <w:sz w:val="24"/>
          <w:szCs w:val="24"/>
          <w:bdr w:val="none" w:sz="0" w:space="0" w:color="auto"/>
          <w:lang w:val="fr-FR" w:eastAsia="en-US"/>
        </w:rPr>
        <w:t xml:space="preserve"> </w:t>
      </w:r>
      <w:r w:rsidRPr="007D0DE4">
        <w:rPr>
          <w:rFonts w:asciiTheme="majorHAnsi" w:eastAsia="Arial" w:hAnsiTheme="majorHAnsi" w:cs="Arial"/>
          <w:sz w:val="24"/>
          <w:szCs w:val="24"/>
          <w:bdr w:val="none" w:sz="0" w:space="0" w:color="auto"/>
          <w:lang w:val="fr-FR" w:eastAsia="en-US"/>
        </w:rPr>
        <w:t>mangaa@africa-union.org</w:t>
      </w:r>
      <w:r w:rsidR="00476FF7">
        <w:rPr>
          <w:rFonts w:asciiTheme="majorHAnsi" w:eastAsia="Arial" w:hAnsiTheme="majorHAnsi" w:cs="Arial"/>
          <w:sz w:val="24"/>
          <w:szCs w:val="24"/>
          <w:bdr w:val="none" w:sz="0" w:space="0" w:color="auto"/>
          <w:lang w:val="fr-FR" w:eastAsia="en-US"/>
        </w:rPr>
        <w:t>.</w:t>
      </w:r>
    </w:p>
    <w:p w:rsidR="00B5691C" w:rsidRPr="007D0DE4" w:rsidRDefault="007D0DE4" w:rsidP="007D0DE4">
      <w:pPr>
        <w:pStyle w:val="BodyA"/>
        <w:ind w:firstLine="720"/>
        <w:jc w:val="both"/>
        <w:rPr>
          <w:rFonts w:asciiTheme="majorHAnsi" w:eastAsia="Arial" w:hAnsiTheme="majorHAnsi" w:cs="Arial"/>
          <w:sz w:val="24"/>
          <w:szCs w:val="24"/>
          <w:bdr w:val="none" w:sz="0" w:space="0" w:color="auto"/>
          <w:lang w:eastAsia="en-US"/>
        </w:rPr>
      </w:pPr>
      <w:r w:rsidRPr="007D0DE4">
        <w:rPr>
          <w:rFonts w:asciiTheme="majorHAnsi" w:eastAsia="Arial" w:hAnsiTheme="majorHAnsi" w:cs="Arial"/>
          <w:color w:val="auto"/>
          <w:sz w:val="24"/>
          <w:szCs w:val="24"/>
          <w:bdr w:val="none" w:sz="0" w:space="0" w:color="auto"/>
          <w:lang w:val="fr-FR" w:eastAsia="en-US"/>
        </w:rPr>
        <w:t>Elizabeth Meribole</w:t>
      </w:r>
      <w:r w:rsidR="00EC0152" w:rsidRPr="007D0DE4">
        <w:rPr>
          <w:rFonts w:asciiTheme="majorHAnsi" w:eastAsia="Arial" w:hAnsiTheme="majorHAnsi" w:cs="Arial"/>
          <w:color w:val="auto"/>
          <w:sz w:val="24"/>
          <w:szCs w:val="24"/>
          <w:bdr w:val="none" w:sz="0" w:space="0" w:color="auto"/>
          <w:lang w:eastAsia="en-US"/>
        </w:rPr>
        <w:tab/>
      </w:r>
      <w:r w:rsidR="00B5691C">
        <w:rPr>
          <w:rFonts w:asciiTheme="majorHAnsi" w:eastAsia="Arial" w:hAnsiTheme="majorHAnsi" w:cs="Arial"/>
          <w:color w:val="auto"/>
          <w:sz w:val="24"/>
          <w:szCs w:val="24"/>
          <w:bdr w:val="none" w:sz="0" w:space="0" w:color="auto"/>
          <w:lang w:eastAsia="en-US"/>
        </w:rPr>
        <w:t xml:space="preserve"> </w:t>
      </w:r>
      <w:r w:rsidR="00476FF7">
        <w:rPr>
          <w:rFonts w:asciiTheme="majorHAnsi" w:eastAsia="Arial" w:hAnsiTheme="majorHAnsi" w:cs="Arial"/>
          <w:color w:val="auto"/>
          <w:sz w:val="24"/>
          <w:szCs w:val="24"/>
          <w:bdr w:val="none" w:sz="0" w:space="0" w:color="auto"/>
          <w:lang w:eastAsia="en-US"/>
        </w:rPr>
        <w:tab/>
      </w:r>
      <w:r w:rsidRPr="007D0DE4">
        <w:rPr>
          <w:rFonts w:asciiTheme="majorHAnsi" w:eastAsia="Arial" w:hAnsiTheme="majorHAnsi" w:cs="Arial"/>
          <w:color w:val="auto"/>
          <w:sz w:val="24"/>
          <w:szCs w:val="24"/>
          <w:bdr w:val="none" w:sz="0" w:space="0" w:color="auto"/>
          <w:lang w:val="fr-FR" w:eastAsia="en-US"/>
        </w:rPr>
        <w:t>E-mail :</w:t>
      </w:r>
      <w:r w:rsidR="00B5691C">
        <w:rPr>
          <w:rFonts w:asciiTheme="majorHAnsi" w:eastAsia="Arial" w:hAnsiTheme="majorHAnsi" w:cs="Arial"/>
          <w:color w:val="auto"/>
          <w:sz w:val="24"/>
          <w:szCs w:val="24"/>
          <w:bdr w:val="none" w:sz="0" w:space="0" w:color="auto"/>
          <w:lang w:eastAsia="en-US"/>
        </w:rPr>
        <w:t xml:space="preserve"> </w:t>
      </w:r>
      <w:r w:rsidRPr="007D0DE4">
        <w:rPr>
          <w:rFonts w:asciiTheme="majorHAnsi" w:eastAsia="Arial" w:hAnsiTheme="majorHAnsi" w:cs="Arial"/>
          <w:sz w:val="24"/>
          <w:szCs w:val="24"/>
          <w:bdr w:val="none" w:sz="0" w:space="0" w:color="auto"/>
          <w:lang w:val="fr-FR" w:eastAsia="en-US"/>
        </w:rPr>
        <w:t>Karikogae@africa-union.org.</w:t>
      </w:r>
    </w:p>
    <w:p w:rsidR="00B5691C" w:rsidRPr="00B5691C" w:rsidRDefault="007D0DE4" w:rsidP="007D0DE4">
      <w:pPr>
        <w:pStyle w:val="BodyA"/>
        <w:ind w:firstLine="720"/>
        <w:jc w:val="both"/>
        <w:rPr>
          <w:rFonts w:asciiTheme="majorHAnsi" w:eastAsia="Arial" w:hAnsiTheme="majorHAnsi" w:cs="Arial"/>
          <w:color w:val="auto"/>
          <w:sz w:val="24"/>
          <w:szCs w:val="24"/>
          <w:bdr w:val="none" w:sz="0" w:space="0" w:color="auto"/>
          <w:lang w:eastAsia="en-US"/>
        </w:rPr>
      </w:pPr>
      <w:r w:rsidRPr="007D0DE4">
        <w:rPr>
          <w:rFonts w:asciiTheme="majorHAnsi" w:eastAsia="Arial" w:hAnsiTheme="majorHAnsi" w:cs="Arial"/>
          <w:color w:val="auto"/>
          <w:sz w:val="24"/>
          <w:szCs w:val="24"/>
          <w:bdr w:val="none" w:sz="0" w:space="0" w:color="auto"/>
          <w:lang w:val="fr-FR" w:eastAsia="en-US"/>
        </w:rPr>
        <w:t>Registre de la C</w:t>
      </w:r>
      <w:r w:rsidR="00476FF7">
        <w:rPr>
          <w:rFonts w:asciiTheme="majorHAnsi" w:eastAsia="Arial" w:hAnsiTheme="majorHAnsi" w:cs="Arial"/>
          <w:color w:val="auto"/>
          <w:sz w:val="24"/>
          <w:szCs w:val="24"/>
          <w:bdr w:val="none" w:sz="0" w:space="0" w:color="auto"/>
          <w:lang w:val="fr-FR" w:eastAsia="en-US"/>
        </w:rPr>
        <w:t>A</w:t>
      </w:r>
      <w:r w:rsidRPr="007D0DE4">
        <w:rPr>
          <w:rFonts w:asciiTheme="majorHAnsi" w:eastAsia="Arial" w:hAnsiTheme="majorHAnsi" w:cs="Arial"/>
          <w:color w:val="auto"/>
          <w:sz w:val="24"/>
          <w:szCs w:val="24"/>
          <w:bdr w:val="none" w:sz="0" w:space="0" w:color="auto"/>
          <w:lang w:val="fr-FR" w:eastAsia="en-US"/>
        </w:rPr>
        <w:t>DHP</w:t>
      </w:r>
      <w:r w:rsidR="00B5691C">
        <w:rPr>
          <w:rFonts w:asciiTheme="majorHAnsi" w:eastAsia="Arial" w:hAnsiTheme="majorHAnsi" w:cs="Arial"/>
          <w:color w:val="auto"/>
          <w:sz w:val="24"/>
          <w:szCs w:val="24"/>
          <w:bdr w:val="none" w:sz="0" w:space="0" w:color="auto"/>
          <w:lang w:eastAsia="en-US"/>
        </w:rPr>
        <w:t xml:space="preserve"> </w:t>
      </w:r>
      <w:r w:rsidR="00EC0152">
        <w:rPr>
          <w:rFonts w:asciiTheme="majorHAnsi" w:eastAsia="Arial" w:hAnsiTheme="majorHAnsi" w:cs="Arial"/>
          <w:color w:val="auto"/>
          <w:sz w:val="24"/>
          <w:szCs w:val="24"/>
          <w:bdr w:val="none" w:sz="0" w:space="0" w:color="auto"/>
          <w:lang w:eastAsia="en-US"/>
        </w:rPr>
        <w:tab/>
      </w:r>
      <w:r w:rsidR="00476FF7" w:rsidRPr="007D0DE4">
        <w:rPr>
          <w:rFonts w:asciiTheme="majorHAnsi" w:eastAsia="Arial" w:hAnsiTheme="majorHAnsi" w:cs="Arial"/>
          <w:color w:val="auto"/>
          <w:sz w:val="24"/>
          <w:szCs w:val="24"/>
          <w:bdr w:val="none" w:sz="0" w:space="0" w:color="auto"/>
          <w:lang w:val="fr-FR" w:eastAsia="en-US"/>
        </w:rPr>
        <w:t>E-mail :</w:t>
      </w:r>
      <w:r w:rsidRPr="007D0DE4">
        <w:rPr>
          <w:rFonts w:asciiTheme="majorHAnsi" w:eastAsia="Arial" w:hAnsiTheme="majorHAnsi" w:cs="Arial"/>
          <w:color w:val="auto"/>
          <w:sz w:val="24"/>
          <w:szCs w:val="24"/>
          <w:bdr w:val="none" w:sz="0" w:space="0" w:color="auto"/>
          <w:lang w:val="fr-FR" w:eastAsia="en-US"/>
        </w:rPr>
        <w:t xml:space="preserve"> </w:t>
      </w:r>
      <w:r w:rsidR="00476FF7" w:rsidRPr="00476FF7">
        <w:rPr>
          <w:rFonts w:asciiTheme="majorHAnsi" w:eastAsia="Arial" w:hAnsiTheme="majorHAnsi" w:cs="Arial"/>
          <w:color w:val="auto"/>
          <w:sz w:val="24"/>
          <w:szCs w:val="24"/>
          <w:bdr w:val="none" w:sz="0" w:space="0" w:color="auto"/>
          <w:lang w:val="fr-FR" w:eastAsia="en-US"/>
        </w:rPr>
        <w:t>au-banjul@africa-union.org</w:t>
      </w:r>
      <w:r w:rsidR="00476FF7">
        <w:rPr>
          <w:rFonts w:asciiTheme="majorHAnsi" w:eastAsia="Arial" w:hAnsiTheme="majorHAnsi" w:cs="Arial"/>
          <w:color w:val="auto"/>
          <w:sz w:val="24"/>
          <w:szCs w:val="24"/>
          <w:bdr w:val="none" w:sz="0" w:space="0" w:color="auto"/>
          <w:lang w:val="fr-FR" w:eastAsia="en-US"/>
        </w:rPr>
        <w:t xml:space="preserve"> </w:t>
      </w:r>
      <w:r w:rsidRPr="007D0DE4">
        <w:rPr>
          <w:rFonts w:asciiTheme="majorHAnsi" w:eastAsia="Arial" w:hAnsiTheme="majorHAnsi" w:cs="Arial"/>
          <w:color w:val="auto"/>
          <w:sz w:val="24"/>
          <w:szCs w:val="24"/>
          <w:bdr w:val="none" w:sz="0" w:space="0" w:color="auto"/>
          <w:lang w:val="fr-FR" w:eastAsia="en-US"/>
        </w:rPr>
        <w:t>;</w:t>
      </w:r>
      <w:r w:rsidR="00B5691C" w:rsidRPr="00B5691C">
        <w:rPr>
          <w:rFonts w:asciiTheme="majorHAnsi" w:eastAsia="Arial" w:hAnsiTheme="majorHAnsi" w:cs="Arial"/>
          <w:color w:val="auto"/>
          <w:sz w:val="24"/>
          <w:szCs w:val="24"/>
          <w:bdr w:val="none" w:sz="0" w:space="0" w:color="auto"/>
          <w:lang w:eastAsia="en-US"/>
        </w:rPr>
        <w:t xml:space="preserve"> </w:t>
      </w:r>
    </w:p>
    <w:p w:rsidR="00BA4CD2" w:rsidRPr="007D0DE4" w:rsidRDefault="00B5691C" w:rsidP="007D0DE4">
      <w:pPr>
        <w:pStyle w:val="BodyA"/>
        <w:ind w:left="2880"/>
        <w:jc w:val="both"/>
        <w:rPr>
          <w:rStyle w:val="Lienhypertexte"/>
          <w:rFonts w:asciiTheme="majorHAnsi" w:eastAsia="Arial" w:hAnsiTheme="majorHAnsi" w:cs="Arial"/>
          <w:sz w:val="24"/>
          <w:szCs w:val="24"/>
          <w:bdr w:val="none" w:sz="0" w:space="0" w:color="auto"/>
          <w:lang w:val="fr-FR" w:eastAsia="en-US"/>
        </w:rPr>
      </w:pPr>
      <w:r>
        <w:rPr>
          <w:rFonts w:asciiTheme="majorHAnsi" w:eastAsia="Arial" w:hAnsiTheme="majorHAnsi" w:cs="Arial"/>
          <w:color w:val="auto"/>
          <w:sz w:val="24"/>
          <w:szCs w:val="24"/>
          <w:bdr w:val="none" w:sz="0" w:space="0" w:color="auto"/>
          <w:lang w:eastAsia="en-US"/>
        </w:rPr>
        <w:lastRenderedPageBreak/>
        <w:t xml:space="preserve">        </w:t>
      </w:r>
      <w:r w:rsidR="00EC0152">
        <w:rPr>
          <w:rFonts w:asciiTheme="majorHAnsi" w:eastAsia="Arial" w:hAnsiTheme="majorHAnsi" w:cs="Arial"/>
          <w:color w:val="auto"/>
          <w:sz w:val="24"/>
          <w:szCs w:val="24"/>
          <w:bdr w:val="none" w:sz="0" w:space="0" w:color="auto"/>
          <w:lang w:eastAsia="en-US"/>
        </w:rPr>
        <w:t xml:space="preserve">   </w:t>
      </w:r>
      <w:r w:rsidR="007D0DE4" w:rsidRPr="007D0DE4">
        <w:rPr>
          <w:rFonts w:asciiTheme="majorHAnsi" w:eastAsia="Arial" w:hAnsiTheme="majorHAnsi" w:cs="Arial"/>
          <w:sz w:val="24"/>
          <w:szCs w:val="24"/>
          <w:bdr w:val="none" w:sz="0" w:space="0" w:color="auto"/>
          <w:lang w:val="fr-FR" w:eastAsia="en-US"/>
        </w:rPr>
        <w:t>achpr.reception@africa-union.org</w:t>
      </w:r>
      <w:r w:rsidR="00476FF7">
        <w:rPr>
          <w:rFonts w:asciiTheme="majorHAnsi" w:eastAsia="Arial" w:hAnsiTheme="majorHAnsi" w:cs="Arial"/>
          <w:sz w:val="24"/>
          <w:szCs w:val="24"/>
          <w:bdr w:val="none" w:sz="0" w:space="0" w:color="auto"/>
          <w:lang w:val="fr-FR" w:eastAsia="en-US"/>
        </w:rPr>
        <w:t>.</w:t>
      </w:r>
    </w:p>
    <w:p w:rsidR="00EF7CCB" w:rsidRPr="00D5681B" w:rsidRDefault="00EF7CCB" w:rsidP="007D0DE4">
      <w:pPr>
        <w:pStyle w:val="BodyA"/>
        <w:jc w:val="both"/>
        <w:rPr>
          <w:rFonts w:asciiTheme="majorHAnsi" w:eastAsia="Arial" w:hAnsiTheme="majorHAnsi" w:cs="Arial"/>
          <w:color w:val="auto"/>
          <w:sz w:val="24"/>
          <w:szCs w:val="24"/>
          <w:bdr w:val="none" w:sz="0" w:space="0" w:color="auto"/>
          <w:lang w:val="fr-FR" w:eastAsia="en-US"/>
        </w:rPr>
      </w:pPr>
      <w:r w:rsidRPr="00D5681B">
        <w:rPr>
          <w:rFonts w:asciiTheme="majorHAnsi" w:eastAsia="Arial" w:hAnsiTheme="majorHAnsi" w:cs="Arial"/>
          <w:color w:val="auto"/>
          <w:sz w:val="24"/>
          <w:szCs w:val="24"/>
          <w:bdr w:val="none" w:sz="0" w:space="0" w:color="auto"/>
          <w:lang w:val="fr-FR" w:eastAsia="en-US"/>
        </w:rPr>
        <w:tab/>
      </w:r>
      <w:r w:rsidR="007D0DE4" w:rsidRPr="007D0DE4">
        <w:rPr>
          <w:rFonts w:asciiTheme="majorHAnsi" w:eastAsia="Arial" w:hAnsiTheme="majorHAnsi" w:cs="Arial"/>
          <w:color w:val="auto"/>
          <w:sz w:val="24"/>
          <w:szCs w:val="24"/>
          <w:bdr w:val="none" w:sz="0" w:space="0" w:color="auto"/>
          <w:lang w:val="fr-FR" w:eastAsia="en-US"/>
        </w:rPr>
        <w:t>Ziona Tanzer</w:t>
      </w:r>
      <w:r w:rsidRPr="00D5681B">
        <w:rPr>
          <w:rFonts w:asciiTheme="majorHAnsi" w:eastAsia="Arial" w:hAnsiTheme="majorHAnsi" w:cs="Arial"/>
          <w:color w:val="auto"/>
          <w:sz w:val="24"/>
          <w:szCs w:val="24"/>
          <w:bdr w:val="none" w:sz="0" w:space="0" w:color="auto"/>
          <w:lang w:val="fr-FR" w:eastAsia="en-US"/>
        </w:rPr>
        <w:t xml:space="preserve"> </w:t>
      </w:r>
      <w:r w:rsidRPr="00D5681B">
        <w:rPr>
          <w:rFonts w:asciiTheme="majorHAnsi" w:eastAsia="Arial" w:hAnsiTheme="majorHAnsi" w:cs="Arial"/>
          <w:color w:val="auto"/>
          <w:sz w:val="24"/>
          <w:szCs w:val="24"/>
          <w:bdr w:val="none" w:sz="0" w:space="0" w:color="auto"/>
          <w:lang w:val="fr-FR" w:eastAsia="en-US"/>
        </w:rPr>
        <w:tab/>
      </w:r>
      <w:r w:rsidR="00476FF7">
        <w:rPr>
          <w:rFonts w:asciiTheme="majorHAnsi" w:eastAsia="Arial" w:hAnsiTheme="majorHAnsi" w:cs="Arial"/>
          <w:color w:val="auto"/>
          <w:sz w:val="24"/>
          <w:szCs w:val="24"/>
          <w:bdr w:val="none" w:sz="0" w:space="0" w:color="auto"/>
          <w:lang w:val="fr-FR" w:eastAsia="en-US"/>
        </w:rPr>
        <w:tab/>
      </w:r>
      <w:r w:rsidR="00476FF7" w:rsidRPr="007D0DE4">
        <w:rPr>
          <w:rFonts w:asciiTheme="majorHAnsi" w:eastAsia="Arial" w:hAnsiTheme="majorHAnsi" w:cs="Arial"/>
          <w:color w:val="auto"/>
          <w:sz w:val="24"/>
          <w:szCs w:val="24"/>
          <w:bdr w:val="none" w:sz="0" w:space="0" w:color="auto"/>
          <w:lang w:val="fr-FR" w:eastAsia="en-US"/>
        </w:rPr>
        <w:t>E-mail :</w:t>
      </w:r>
      <w:r w:rsidR="007D0DE4" w:rsidRPr="007D0DE4">
        <w:rPr>
          <w:rFonts w:asciiTheme="majorHAnsi" w:eastAsia="Arial" w:hAnsiTheme="majorHAnsi" w:cs="Arial"/>
          <w:color w:val="auto"/>
          <w:sz w:val="24"/>
          <w:szCs w:val="24"/>
          <w:bdr w:val="none" w:sz="0" w:space="0" w:color="auto"/>
          <w:lang w:val="fr-FR" w:eastAsia="en-US"/>
        </w:rPr>
        <w:t xml:space="preserve"> </w:t>
      </w:r>
      <w:r w:rsidR="007D0DE4" w:rsidRPr="007D0DE4">
        <w:rPr>
          <w:rFonts w:asciiTheme="majorHAnsi" w:eastAsia="Arial" w:hAnsiTheme="majorHAnsi" w:cs="Arial"/>
          <w:sz w:val="24"/>
          <w:szCs w:val="24"/>
          <w:bdr w:val="none" w:sz="0" w:space="0" w:color="auto"/>
          <w:lang w:val="fr-FR" w:eastAsia="en-US"/>
        </w:rPr>
        <w:t>ztanzer@solidaritycenter.org</w:t>
      </w:r>
      <w:r w:rsidR="00476FF7">
        <w:rPr>
          <w:rFonts w:asciiTheme="majorHAnsi" w:eastAsia="Arial" w:hAnsiTheme="majorHAnsi" w:cs="Arial"/>
          <w:sz w:val="24"/>
          <w:szCs w:val="24"/>
          <w:bdr w:val="none" w:sz="0" w:space="0" w:color="auto"/>
          <w:lang w:val="fr-FR" w:eastAsia="en-US"/>
        </w:rPr>
        <w:t>.</w:t>
      </w:r>
      <w:r w:rsidRPr="00D5681B">
        <w:rPr>
          <w:rFonts w:asciiTheme="majorHAnsi" w:eastAsia="Arial" w:hAnsiTheme="majorHAnsi" w:cs="Arial"/>
          <w:color w:val="auto"/>
          <w:sz w:val="24"/>
          <w:szCs w:val="24"/>
          <w:bdr w:val="none" w:sz="0" w:space="0" w:color="auto"/>
          <w:lang w:val="fr-FR" w:eastAsia="en-US"/>
        </w:rPr>
        <w:t xml:space="preserve"> </w:t>
      </w:r>
    </w:p>
    <w:p w:rsidR="00B5691C" w:rsidRPr="00B5691C" w:rsidRDefault="00B5691C" w:rsidP="00B5691C">
      <w:pPr>
        <w:pStyle w:val="BodyA"/>
        <w:ind w:left="2880"/>
        <w:jc w:val="both"/>
        <w:rPr>
          <w:rFonts w:hint="eastAsia"/>
          <w:lang w:val="cy-GB"/>
        </w:rPr>
      </w:pPr>
    </w:p>
    <w:sectPr w:rsidR="00B5691C" w:rsidRPr="00B5691C">
      <w:headerReference w:type="even" r:id="rId9"/>
      <w:headerReference w:type="default" r:id="rId10"/>
      <w:footerReference w:type="even" r:id="rId11"/>
      <w:footerReference w:type="default" r:id="rId12"/>
      <w:headerReference w:type="first" r:id="rId13"/>
      <w:footerReference w:type="first" r:id="rId14"/>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2090" w:rsidRDefault="00832090">
      <w:r>
        <w:separator/>
      </w:r>
    </w:p>
  </w:endnote>
  <w:endnote w:type="continuationSeparator" w:id="0">
    <w:p w:rsidR="00832090" w:rsidRDefault="00832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3E1E" w:rsidRDefault="00E63E1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337846"/>
      <w:docPartObj>
        <w:docPartGallery w:val="Page Numbers (Bottom of Page)"/>
        <w:docPartUnique/>
      </w:docPartObj>
    </w:sdtPr>
    <w:sdtEndPr>
      <w:rPr>
        <w:color w:val="7F7F7F" w:themeColor="background1" w:themeShade="7F"/>
        <w:spacing w:val="60"/>
      </w:rPr>
    </w:sdtEndPr>
    <w:sdtContent>
      <w:p w:rsidR="00B60F55" w:rsidRDefault="00B60F55">
        <w:pPr>
          <w:pStyle w:val="Pieddepage"/>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E74327" w:rsidRDefault="00E74327">
    <w:pPr>
      <w:pStyle w:val="Header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3E1E" w:rsidRDefault="00E63E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2090" w:rsidRDefault="00832090">
      <w:r>
        <w:separator/>
      </w:r>
    </w:p>
  </w:footnote>
  <w:footnote w:type="continuationSeparator" w:id="0">
    <w:p w:rsidR="00832090" w:rsidRDefault="00832090">
      <w:r>
        <w:continuationSeparator/>
      </w:r>
    </w:p>
  </w:footnote>
  <w:footnote w:type="continuationNotice" w:id="1">
    <w:p w:rsidR="00832090" w:rsidRDefault="00832090"/>
  </w:footnote>
  <w:footnote w:id="2">
    <w:p w:rsidR="00E74327" w:rsidRPr="007D0DE4" w:rsidRDefault="004C4A1E">
      <w:pPr>
        <w:pStyle w:val="BodyA"/>
        <w:rPr>
          <w:rFonts w:hint="eastAsia"/>
          <w:lang w:val="fr-FR"/>
        </w:rPr>
      </w:pPr>
      <w:r w:rsidRPr="007D0DE4">
        <w:rPr>
          <w:vertAlign w:val="superscript"/>
          <w:lang w:val="fr-FR"/>
        </w:rPr>
        <w:footnoteRef/>
      </w:r>
      <w:r w:rsidRPr="007D0DE4">
        <w:rPr>
          <w:sz w:val="16"/>
          <w:szCs w:val="16"/>
          <w:lang w:val="fr-FR"/>
        </w:rPr>
        <w:t xml:space="preserve"> </w:t>
      </w:r>
      <w:r w:rsidR="008D31F7" w:rsidRPr="008D31F7">
        <w:rPr>
          <w:sz w:val="16"/>
          <w:szCs w:val="16"/>
          <w:lang w:val="fr-FR"/>
        </w:rPr>
        <w:t>La recommandation 204 de l'OIT sur la transition de l'économie informelle vers l'économie formelle, adoptée en 2015 pour guider les États membres de l'OIT, définit l'</w:t>
      </w:r>
      <w:r w:rsidR="008D31F7">
        <w:rPr>
          <w:sz w:val="16"/>
          <w:szCs w:val="16"/>
          <w:lang w:val="fr-FR"/>
        </w:rPr>
        <w:t>« </w:t>
      </w:r>
      <w:r w:rsidR="008D31F7" w:rsidRPr="008D31F7">
        <w:rPr>
          <w:sz w:val="16"/>
          <w:szCs w:val="16"/>
          <w:lang w:val="fr-FR"/>
        </w:rPr>
        <w:t>économie informelle</w:t>
      </w:r>
      <w:r w:rsidR="008D31F7">
        <w:rPr>
          <w:sz w:val="16"/>
          <w:szCs w:val="16"/>
          <w:lang w:val="fr-FR"/>
        </w:rPr>
        <w:t> »</w:t>
      </w:r>
      <w:r w:rsidR="008D31F7" w:rsidRPr="008D31F7">
        <w:rPr>
          <w:sz w:val="16"/>
          <w:szCs w:val="16"/>
          <w:lang w:val="fr-FR"/>
        </w:rPr>
        <w:t xml:space="preserve">. Bien que les définitions varient, le travail dans l'économie informelle est généralement compris comme </w:t>
      </w:r>
      <w:r w:rsidR="008D31F7">
        <w:rPr>
          <w:sz w:val="16"/>
          <w:szCs w:val="16"/>
          <w:lang w:val="fr-FR"/>
        </w:rPr>
        <w:t>couvrant « </w:t>
      </w:r>
      <w:r w:rsidR="008D31F7" w:rsidRPr="008D31F7">
        <w:rPr>
          <w:sz w:val="16"/>
          <w:szCs w:val="16"/>
          <w:lang w:val="fr-FR"/>
        </w:rPr>
        <w:t>toutes les activités économiques des travailleurs et des unités économiques qui, en droit ou en pratique, ne sont pas couvertes ou sont insuffisamment couvertes par des dispositions formelles</w:t>
      </w:r>
      <w:r w:rsidR="008D31F7">
        <w:rPr>
          <w:sz w:val="16"/>
          <w:szCs w:val="16"/>
          <w:lang w:val="fr-FR"/>
        </w:rPr>
        <w:t> »</w:t>
      </w:r>
      <w:r w:rsidR="008D31F7" w:rsidRPr="008D31F7">
        <w:rPr>
          <w:sz w:val="16"/>
          <w:szCs w:val="16"/>
          <w:lang w:val="fr-FR"/>
        </w:rPr>
        <w:t xml:space="preserve">. Voir OIT, Les femmes et les hommes dans l'économie informelle : </w:t>
      </w:r>
      <w:r w:rsidR="008D31F7">
        <w:rPr>
          <w:sz w:val="16"/>
          <w:szCs w:val="16"/>
          <w:lang w:val="fr-FR"/>
        </w:rPr>
        <w:t>un tableau statistique</w:t>
      </w:r>
      <w:r w:rsidR="008D31F7" w:rsidRPr="008D31F7">
        <w:rPr>
          <w:sz w:val="16"/>
          <w:szCs w:val="16"/>
          <w:lang w:val="fr-FR"/>
        </w:rPr>
        <w:t xml:space="preserve"> 13 (3d </w:t>
      </w:r>
      <w:r w:rsidR="00476FF7" w:rsidRPr="008D31F7">
        <w:rPr>
          <w:sz w:val="16"/>
          <w:szCs w:val="16"/>
          <w:lang w:val="fr-FR"/>
        </w:rPr>
        <w:t>éd</w:t>
      </w:r>
      <w:r w:rsidR="00476FF7" w:rsidRPr="008D31F7">
        <w:rPr>
          <w:rFonts w:hint="eastAsia"/>
          <w:sz w:val="16"/>
          <w:szCs w:val="16"/>
          <w:lang w:val="fr-FR"/>
        </w:rPr>
        <w:t>.</w:t>
      </w:r>
      <w:r w:rsidR="008D31F7" w:rsidRPr="008D31F7">
        <w:rPr>
          <w:sz w:val="16"/>
          <w:szCs w:val="16"/>
          <w:lang w:val="fr-FR"/>
        </w:rPr>
        <w:t xml:space="preserve"> 2018)</w:t>
      </w:r>
      <w:r w:rsidRPr="007D0DE4">
        <w:rPr>
          <w:sz w:val="16"/>
          <w:szCs w:val="16"/>
          <w:lang w:val="fr-FR"/>
        </w:rPr>
        <w:t>.</w:t>
      </w:r>
    </w:p>
  </w:footnote>
  <w:footnote w:id="3">
    <w:p w:rsidR="00E74327" w:rsidRPr="007D0DE4" w:rsidRDefault="004C4A1E">
      <w:pPr>
        <w:pStyle w:val="Notedebasdepage"/>
        <w:rPr>
          <w:lang w:val="fr-FR"/>
        </w:rPr>
      </w:pPr>
      <w:r w:rsidRPr="007D0DE4">
        <w:rPr>
          <w:rFonts w:ascii="Helvetica Neue" w:eastAsia="Helvetica Neue" w:hAnsi="Helvetica Neue" w:cs="Helvetica Neue"/>
          <w:vertAlign w:val="superscript"/>
          <w:lang w:val="fr-FR"/>
        </w:rPr>
        <w:footnoteRef/>
      </w:r>
      <w:r w:rsidRPr="007D0DE4">
        <w:rPr>
          <w:rFonts w:eastAsia="Arial Unicode MS" w:cs="Arial Unicode MS"/>
          <w:lang w:val="fr-FR"/>
        </w:rPr>
        <w:t xml:space="preserve"> </w:t>
      </w:r>
      <w:r w:rsidRPr="007D0DE4">
        <w:rPr>
          <w:rFonts w:ascii="Helvetica Neue" w:hAnsi="Helvetica Neue"/>
          <w:sz w:val="16"/>
          <w:szCs w:val="16"/>
          <w:lang w:val="fr-FR"/>
        </w:rPr>
        <w:t>Recomm</w:t>
      </w:r>
      <w:r w:rsidR="008D31F7">
        <w:rPr>
          <w:rFonts w:ascii="Helvetica Neue" w:hAnsi="Helvetica Neue"/>
          <w:sz w:val="16"/>
          <w:szCs w:val="16"/>
          <w:lang w:val="fr-FR"/>
        </w:rPr>
        <w:t>a</w:t>
      </w:r>
      <w:r w:rsidRPr="007D0DE4">
        <w:rPr>
          <w:rFonts w:ascii="Helvetica Neue" w:hAnsi="Helvetica Neue"/>
          <w:sz w:val="16"/>
          <w:szCs w:val="16"/>
          <w:lang w:val="fr-FR"/>
        </w:rPr>
        <w:t xml:space="preserve">ndation 204 </w:t>
      </w:r>
      <w:r w:rsidR="008D31F7">
        <w:rPr>
          <w:rFonts w:ascii="Helvetica Neue" w:hAnsi="Helvetica Neue"/>
          <w:sz w:val="16"/>
          <w:szCs w:val="16"/>
          <w:lang w:val="fr-FR"/>
        </w:rPr>
        <w:t>de l’OIT sur la transition de l’économie informelle vers l’économie formelle.</w:t>
      </w:r>
    </w:p>
  </w:footnote>
  <w:footnote w:id="4">
    <w:p w:rsidR="00E74327" w:rsidRPr="007D0DE4" w:rsidRDefault="004C4A1E">
      <w:pPr>
        <w:pStyle w:val="Notedebasdepage"/>
        <w:rPr>
          <w:lang w:val="fr-FR"/>
        </w:rPr>
      </w:pPr>
      <w:r w:rsidRPr="007D0DE4">
        <w:rPr>
          <w:rFonts w:ascii="Helvetica Neue" w:eastAsia="Helvetica Neue" w:hAnsi="Helvetica Neue" w:cs="Helvetica Neue"/>
          <w:vertAlign w:val="superscript"/>
          <w:lang w:val="fr-FR"/>
        </w:rPr>
        <w:footnoteRef/>
      </w:r>
      <w:r w:rsidRPr="007D0DE4">
        <w:rPr>
          <w:rFonts w:ascii="Helvetica" w:hAnsi="Helvetica"/>
          <w:lang w:val="fr-FR"/>
        </w:rPr>
        <w:t xml:space="preserve"> </w:t>
      </w:r>
      <w:r w:rsidR="008D31F7">
        <w:rPr>
          <w:rFonts w:ascii="Helvetica Neue" w:hAnsi="Helvetica Neue"/>
          <w:sz w:val="16"/>
          <w:szCs w:val="16"/>
          <w:lang w:val="fr-FR"/>
        </w:rPr>
        <w:t>OIT</w:t>
      </w:r>
      <w:r w:rsidRPr="007D0DE4">
        <w:rPr>
          <w:rFonts w:ascii="Helvetica Neue" w:hAnsi="Helvetica Neue"/>
          <w:sz w:val="16"/>
          <w:szCs w:val="16"/>
          <w:lang w:val="fr-FR"/>
        </w:rPr>
        <w:t xml:space="preserve">, </w:t>
      </w:r>
      <w:r w:rsidR="008D31F7" w:rsidRPr="008D31F7">
        <w:rPr>
          <w:sz w:val="16"/>
          <w:szCs w:val="16"/>
          <w:lang w:val="fr-FR"/>
        </w:rPr>
        <w:t xml:space="preserve">Les femmes et les hommes dans l'économie informelle : </w:t>
      </w:r>
      <w:r w:rsidR="008D31F7">
        <w:rPr>
          <w:sz w:val="16"/>
          <w:szCs w:val="16"/>
          <w:lang w:val="fr-FR"/>
        </w:rPr>
        <w:t>un tableau statistique</w:t>
      </w:r>
      <w:r w:rsidR="008D31F7" w:rsidRPr="008D31F7">
        <w:rPr>
          <w:sz w:val="16"/>
          <w:szCs w:val="16"/>
          <w:lang w:val="fr-FR"/>
        </w:rPr>
        <w:t xml:space="preserve"> 13 (3d </w:t>
      </w:r>
      <w:r w:rsidR="00476FF7" w:rsidRPr="008D31F7">
        <w:rPr>
          <w:sz w:val="16"/>
          <w:szCs w:val="16"/>
          <w:lang w:val="fr-FR"/>
        </w:rPr>
        <w:t>éd.</w:t>
      </w:r>
      <w:r w:rsidR="008D31F7" w:rsidRPr="008D31F7">
        <w:rPr>
          <w:sz w:val="16"/>
          <w:szCs w:val="16"/>
          <w:lang w:val="fr-FR"/>
        </w:rPr>
        <w:t xml:space="preserve"> 2018)</w:t>
      </w:r>
      <w:r w:rsidRPr="007D0DE4">
        <w:rPr>
          <w:rFonts w:ascii="Helvetica Neue" w:hAnsi="Helvetica Neue"/>
          <w:sz w:val="16"/>
          <w:szCs w:val="16"/>
          <w:lang w:val="fr-FR"/>
        </w:rPr>
        <w:t>.</w:t>
      </w:r>
    </w:p>
  </w:footnote>
  <w:footnote w:id="5">
    <w:p w:rsidR="00E74327" w:rsidRPr="007D0DE4" w:rsidRDefault="004C4A1E">
      <w:pPr>
        <w:pStyle w:val="Notedebasdepage"/>
        <w:rPr>
          <w:lang w:val="fr-FR"/>
        </w:rPr>
      </w:pPr>
      <w:r w:rsidRPr="007D0DE4">
        <w:rPr>
          <w:rFonts w:ascii="Helvetica Neue" w:eastAsia="Helvetica Neue" w:hAnsi="Helvetica Neue" w:cs="Helvetica Neue"/>
          <w:vertAlign w:val="superscript"/>
          <w:lang w:val="fr-FR"/>
        </w:rPr>
        <w:footnoteRef/>
      </w:r>
      <w:r w:rsidRPr="007D0DE4">
        <w:rPr>
          <w:rFonts w:ascii="Helvetica Neue" w:hAnsi="Helvetica Neue"/>
          <w:sz w:val="16"/>
          <w:szCs w:val="16"/>
          <w:lang w:val="fr-FR"/>
        </w:rPr>
        <w:t xml:space="preserve"> </w:t>
      </w:r>
      <w:r w:rsidR="008D31F7">
        <w:rPr>
          <w:rFonts w:ascii="Helvetica Neue" w:hAnsi="Helvetica Neue"/>
          <w:sz w:val="16"/>
          <w:szCs w:val="16"/>
          <w:lang w:val="fr-FR"/>
        </w:rPr>
        <w:t>Voir</w:t>
      </w:r>
      <w:r w:rsidRPr="007D0DE4">
        <w:rPr>
          <w:rFonts w:ascii="Helvetica Neue" w:hAnsi="Helvetica Neue"/>
          <w:sz w:val="16"/>
          <w:szCs w:val="16"/>
          <w:lang w:val="fr-FR"/>
        </w:rPr>
        <w:t xml:space="preserve"> Anneke Meerkotter, </w:t>
      </w:r>
      <w:r w:rsidRPr="008D31F7">
        <w:rPr>
          <w:rFonts w:ascii="Helvetica Neue" w:hAnsi="Helvetica Neue"/>
          <w:i/>
          <w:iCs/>
          <w:sz w:val="16"/>
          <w:szCs w:val="16"/>
          <w:lang w:val="fr-FR"/>
        </w:rPr>
        <w:t>“Vagrancy Laws and International Labor Standards: African Reform on Criminal Laws”</w:t>
      </w:r>
      <w:r w:rsidRPr="007D0DE4">
        <w:rPr>
          <w:rFonts w:ascii="Helvetica Neue" w:hAnsi="Helvetica Neue"/>
          <w:sz w:val="16"/>
          <w:szCs w:val="16"/>
          <w:lang w:val="fr-FR"/>
        </w:rPr>
        <w:t xml:space="preserve">, International Labor Rights Case Law, Brill </w:t>
      </w:r>
      <w:r w:rsidR="008D31F7">
        <w:rPr>
          <w:rFonts w:ascii="Helvetica Neue" w:hAnsi="Helvetica Neue"/>
          <w:sz w:val="16"/>
          <w:szCs w:val="16"/>
          <w:lang w:val="fr-FR"/>
        </w:rPr>
        <w:t>En ligne</w:t>
      </w:r>
      <w:r w:rsidRPr="007D0DE4">
        <w:rPr>
          <w:rFonts w:ascii="Helvetica Neue" w:hAnsi="Helvetica Neue"/>
          <w:sz w:val="16"/>
          <w:szCs w:val="16"/>
          <w:lang w:val="fr-FR"/>
        </w:rPr>
        <w:t xml:space="preserve">, 13 </w:t>
      </w:r>
      <w:r w:rsidR="008D31F7">
        <w:rPr>
          <w:rFonts w:ascii="Helvetica Neue" w:hAnsi="Helvetica Neue"/>
          <w:sz w:val="16"/>
          <w:szCs w:val="16"/>
          <w:lang w:val="fr-FR"/>
        </w:rPr>
        <w:t>juillet</w:t>
      </w:r>
      <w:r w:rsidRPr="007D0DE4">
        <w:rPr>
          <w:rFonts w:ascii="Helvetica Neue" w:hAnsi="Helvetica Neue"/>
          <w:sz w:val="16"/>
          <w:szCs w:val="16"/>
          <w:lang w:val="fr-FR"/>
        </w:rPr>
        <w:t xml:space="preserve"> 2021</w:t>
      </w:r>
      <w:r w:rsidR="008D31F7">
        <w:rPr>
          <w:rFonts w:ascii="Helvetica Neue" w:hAnsi="Helvetica Neue"/>
          <w:sz w:val="16"/>
          <w:szCs w:val="16"/>
          <w:lang w:val="fr-FR"/>
        </w:rPr>
        <w:t>.</w:t>
      </w:r>
    </w:p>
  </w:footnote>
  <w:footnote w:id="6">
    <w:p w:rsidR="00E74327" w:rsidRPr="007D0DE4" w:rsidRDefault="004C4A1E">
      <w:pPr>
        <w:pStyle w:val="Notedebasdepage"/>
        <w:rPr>
          <w:lang w:val="fr-FR"/>
        </w:rPr>
      </w:pPr>
      <w:r w:rsidRPr="007D0DE4">
        <w:rPr>
          <w:rFonts w:ascii="Helvetica Neue" w:eastAsia="Helvetica Neue" w:hAnsi="Helvetica Neue" w:cs="Helvetica Neue"/>
          <w:vertAlign w:val="superscript"/>
          <w:lang w:val="fr-FR"/>
        </w:rPr>
        <w:footnoteRef/>
      </w:r>
      <w:r w:rsidRPr="007D0DE4">
        <w:rPr>
          <w:rFonts w:eastAsia="Arial Unicode MS" w:cs="Arial Unicode MS"/>
          <w:lang w:val="fr-FR"/>
        </w:rPr>
        <w:t xml:space="preserve"> </w:t>
      </w:r>
      <w:r w:rsidRPr="007D0DE4">
        <w:rPr>
          <w:rFonts w:ascii="Helvetica Neue" w:hAnsi="Helvetica Neue"/>
          <w:sz w:val="16"/>
          <w:szCs w:val="16"/>
          <w:lang w:val="fr-FR"/>
        </w:rPr>
        <w:t>Kamala Sankaran,</w:t>
      </w:r>
      <w:r w:rsidRPr="008D31F7">
        <w:rPr>
          <w:rFonts w:ascii="Helvetica Neue" w:hAnsi="Helvetica Neue"/>
          <w:i/>
          <w:iCs/>
          <w:sz w:val="16"/>
          <w:szCs w:val="16"/>
          <w:lang w:val="fr-FR"/>
        </w:rPr>
        <w:t xml:space="preserve"> “Informal Employment and the Challenges for Labour Law” </w:t>
      </w:r>
      <w:r w:rsidRPr="007D0DE4">
        <w:rPr>
          <w:rFonts w:ascii="Helvetica Neue" w:hAnsi="Helvetica Neue"/>
          <w:sz w:val="16"/>
          <w:szCs w:val="16"/>
          <w:lang w:val="fr-FR"/>
        </w:rPr>
        <w:t>in The Idea of Labour Law (</w:t>
      </w:r>
      <w:r w:rsidR="008D31F7">
        <w:rPr>
          <w:rFonts w:ascii="Helvetica Neue" w:hAnsi="Helvetica Neue"/>
          <w:sz w:val="16"/>
          <w:szCs w:val="16"/>
          <w:lang w:val="fr-FR"/>
        </w:rPr>
        <w:t>é</w:t>
      </w:r>
      <w:r w:rsidRPr="007D0DE4">
        <w:rPr>
          <w:rFonts w:ascii="Helvetica Neue" w:hAnsi="Helvetica Neue"/>
          <w:sz w:val="16"/>
          <w:szCs w:val="16"/>
          <w:lang w:val="fr-FR"/>
        </w:rPr>
        <w:t>d</w:t>
      </w:r>
      <w:r w:rsidR="00476FF7">
        <w:rPr>
          <w:rFonts w:ascii="Helvetica Neue" w:hAnsi="Helvetica Neue"/>
          <w:sz w:val="16"/>
          <w:szCs w:val="16"/>
          <w:lang w:val="fr-FR"/>
        </w:rPr>
        <w:t>.</w:t>
      </w:r>
      <w:r w:rsidRPr="007D0DE4">
        <w:rPr>
          <w:rFonts w:ascii="Helvetica Neue" w:hAnsi="Helvetica Neue"/>
          <w:sz w:val="16"/>
          <w:szCs w:val="16"/>
          <w:lang w:val="fr-FR"/>
        </w:rPr>
        <w:t xml:space="preserve"> Guy Davidov </w:t>
      </w:r>
      <w:r w:rsidR="008D31F7">
        <w:rPr>
          <w:rFonts w:ascii="Helvetica Neue" w:hAnsi="Helvetica Neue"/>
          <w:sz w:val="16"/>
          <w:szCs w:val="16"/>
          <w:lang w:val="fr-FR"/>
        </w:rPr>
        <w:t>et</w:t>
      </w:r>
      <w:r w:rsidRPr="007D0DE4">
        <w:rPr>
          <w:rFonts w:ascii="Helvetica Neue" w:hAnsi="Helvetica Neue"/>
          <w:sz w:val="16"/>
          <w:szCs w:val="16"/>
          <w:lang w:val="fr-FR"/>
        </w:rPr>
        <w:t xml:space="preserve"> Brian Langille 2011) at 223</w:t>
      </w:r>
      <w:r w:rsidR="008D31F7">
        <w:rPr>
          <w:rFonts w:ascii="Helvetica Neue" w:hAnsi="Helvetica Neue"/>
          <w:sz w:val="16"/>
          <w:szCs w:val="16"/>
          <w:lang w:val="fr-FR"/>
        </w:rPr>
        <w:t>.</w:t>
      </w:r>
    </w:p>
  </w:footnote>
  <w:footnote w:id="7">
    <w:p w:rsidR="00E74327" w:rsidRPr="008D31F7" w:rsidRDefault="004C4A1E">
      <w:pPr>
        <w:pStyle w:val="Notedebasdepage"/>
        <w:rPr>
          <w:lang w:val="fr-FR"/>
        </w:rPr>
      </w:pPr>
      <w:r w:rsidRPr="007D0DE4">
        <w:rPr>
          <w:rFonts w:ascii="Helvetica Neue" w:eastAsia="Helvetica Neue" w:hAnsi="Helvetica Neue" w:cs="Helvetica Neue"/>
          <w:vertAlign w:val="superscript"/>
          <w:lang w:val="fr-FR"/>
        </w:rPr>
        <w:footnoteRef/>
      </w:r>
      <w:r w:rsidRPr="007D0DE4">
        <w:rPr>
          <w:rFonts w:ascii="Helvetica Neue" w:hAnsi="Helvetica Neue"/>
          <w:sz w:val="16"/>
          <w:szCs w:val="16"/>
          <w:lang w:val="fr-FR"/>
        </w:rPr>
        <w:t xml:space="preserve"> Krithika Dinesh, Marlese van Broembsen, Roopa </w:t>
      </w:r>
      <w:r w:rsidR="00476FF7" w:rsidRPr="007D0DE4">
        <w:rPr>
          <w:rFonts w:ascii="Helvetica Neue" w:hAnsi="Helvetica Neue"/>
          <w:sz w:val="16"/>
          <w:szCs w:val="16"/>
          <w:lang w:val="fr-FR"/>
        </w:rPr>
        <w:t>Madhav,</w:t>
      </w:r>
      <w:r w:rsidRPr="007D0DE4">
        <w:rPr>
          <w:rFonts w:ascii="Helvetica Neue" w:hAnsi="Helvetica Neue"/>
          <w:sz w:val="16"/>
          <w:szCs w:val="16"/>
          <w:lang w:val="fr-FR"/>
        </w:rPr>
        <w:t xml:space="preserve"> Pamhiszai Bamu, Teresa Marchiori</w:t>
      </w:r>
      <w:r w:rsidRPr="008D31F7">
        <w:rPr>
          <w:rFonts w:ascii="Helvetica Neue" w:hAnsi="Helvetica Neue"/>
          <w:sz w:val="16"/>
          <w:szCs w:val="16"/>
          <w:lang w:val="fr-FR"/>
        </w:rPr>
        <w:t xml:space="preserve">, </w:t>
      </w:r>
      <w:r w:rsidR="008D31F7" w:rsidRPr="008D31F7">
        <w:rPr>
          <w:rFonts w:asciiTheme="minorHAnsi" w:hAnsiTheme="minorHAnsi"/>
          <w:sz w:val="16"/>
          <w:szCs w:val="16"/>
          <w:lang w:val="fr-FR"/>
        </w:rPr>
        <w:t>« </w:t>
      </w:r>
      <w:r w:rsidR="008D31F7" w:rsidRPr="008D31F7">
        <w:rPr>
          <w:rStyle w:val="lev"/>
          <w:rFonts w:asciiTheme="minorHAnsi" w:hAnsiTheme="minorHAnsi"/>
          <w:b w:val="0"/>
          <w:bCs w:val="0"/>
          <w:sz w:val="16"/>
          <w:szCs w:val="16"/>
          <w:lang w:val="fr-FR"/>
        </w:rPr>
        <w:t>Réexamen des récits juridiques sur le vagabondage, les espaces publics et les constructions coloniales : un commentaire sur l'avis consultatif de la CADHP sur les lois sur le vagabondage en Afrique”’</w:t>
      </w:r>
      <w:r w:rsidRPr="008D31F7">
        <w:rPr>
          <w:rFonts w:ascii="Helvetica Neue" w:hAnsi="Helvetica Neue"/>
          <w:sz w:val="16"/>
          <w:szCs w:val="16"/>
          <w:lang w:val="fr-FR"/>
        </w:rPr>
        <w:t>, Law &amp; Informality Insights n</w:t>
      </w:r>
      <w:r w:rsidR="008D31F7">
        <w:rPr>
          <w:rFonts w:ascii="Helvetica Neue" w:hAnsi="Helvetica Neue"/>
          <w:sz w:val="16"/>
          <w:szCs w:val="16"/>
          <w:lang w:val="fr-FR"/>
        </w:rPr>
        <w:t>°</w:t>
      </w:r>
      <w:r w:rsidRPr="008D31F7">
        <w:rPr>
          <w:rFonts w:ascii="Helvetica Neue" w:hAnsi="Helvetica Neue"/>
          <w:sz w:val="16"/>
          <w:szCs w:val="16"/>
          <w:lang w:val="fr-FR"/>
        </w:rPr>
        <w:t xml:space="preserve"> 4, </w:t>
      </w:r>
      <w:r w:rsidR="008D31F7">
        <w:rPr>
          <w:rFonts w:ascii="Helvetica Neue" w:hAnsi="Helvetica Neue"/>
          <w:sz w:val="16"/>
          <w:szCs w:val="16"/>
          <w:lang w:val="fr-FR"/>
        </w:rPr>
        <w:t>aoû</w:t>
      </w:r>
      <w:r w:rsidRPr="008D31F7">
        <w:rPr>
          <w:rFonts w:ascii="Helvetica Neue" w:hAnsi="Helvetica Neue"/>
          <w:sz w:val="16"/>
          <w:szCs w:val="16"/>
          <w:lang w:val="fr-FR"/>
        </w:rPr>
        <w:t>t 2021</w:t>
      </w:r>
      <w:r w:rsidR="008D31F7">
        <w:rPr>
          <w:rFonts w:ascii="Helvetica Neue" w:hAnsi="Helvetica Neue"/>
          <w:sz w:val="16"/>
          <w:szCs w:val="16"/>
          <w:lang w:val="fr-FR"/>
        </w:rPr>
        <w:t>.</w:t>
      </w:r>
    </w:p>
  </w:footnote>
  <w:footnote w:id="8">
    <w:p w:rsidR="00E74327" w:rsidRPr="007D0DE4" w:rsidRDefault="004C4A1E">
      <w:pPr>
        <w:pStyle w:val="BodyA"/>
        <w:rPr>
          <w:rFonts w:hint="eastAsia"/>
          <w:lang w:val="fr-FR"/>
        </w:rPr>
      </w:pPr>
      <w:r w:rsidRPr="007D0DE4">
        <w:rPr>
          <w:vertAlign w:val="superscript"/>
          <w:lang w:val="fr-FR"/>
        </w:rPr>
        <w:footnoteRef/>
      </w:r>
      <w:r w:rsidRPr="007D0DE4">
        <w:rPr>
          <w:sz w:val="16"/>
          <w:szCs w:val="16"/>
          <w:lang w:val="fr-FR"/>
        </w:rPr>
        <w:t xml:space="preserve"> </w:t>
      </w:r>
      <w:r w:rsidR="008D31F7" w:rsidRPr="008D31F7">
        <w:rPr>
          <w:rFonts w:hint="eastAsia"/>
          <w:sz w:val="16"/>
          <w:szCs w:val="16"/>
          <w:lang w:val="fr-FR"/>
        </w:rPr>
        <w:t>A</w:t>
      </w:r>
      <w:r w:rsidR="008D31F7" w:rsidRPr="008D31F7">
        <w:rPr>
          <w:sz w:val="16"/>
          <w:szCs w:val="16"/>
          <w:lang w:val="fr-FR"/>
        </w:rPr>
        <w:t xml:space="preserve"> titre d’</w:t>
      </w:r>
      <w:r w:rsidRPr="008D31F7">
        <w:rPr>
          <w:sz w:val="16"/>
          <w:szCs w:val="16"/>
          <w:lang w:val="fr-FR"/>
        </w:rPr>
        <w:t>ex</w:t>
      </w:r>
      <w:r w:rsidR="008D31F7" w:rsidRPr="008D31F7">
        <w:rPr>
          <w:sz w:val="16"/>
          <w:szCs w:val="16"/>
          <w:lang w:val="fr-FR"/>
        </w:rPr>
        <w:t>e</w:t>
      </w:r>
      <w:r w:rsidRPr="008D31F7">
        <w:rPr>
          <w:sz w:val="16"/>
          <w:szCs w:val="16"/>
          <w:lang w:val="fr-FR"/>
        </w:rPr>
        <w:t>mple</w:t>
      </w:r>
      <w:r w:rsidRPr="007D0DE4">
        <w:rPr>
          <w:sz w:val="16"/>
          <w:szCs w:val="16"/>
          <w:lang w:val="fr-FR"/>
        </w:rPr>
        <w:t xml:space="preserve">, </w:t>
      </w:r>
      <w:r w:rsidR="002234B6" w:rsidRPr="002234B6">
        <w:rPr>
          <w:sz w:val="16"/>
          <w:szCs w:val="16"/>
          <w:lang w:val="fr-FR"/>
        </w:rPr>
        <w:t xml:space="preserve">le droit à la liberté d'association et le droit de s'organiser et de négocier collectivement sont étendus à tous les travailleurs dans la Déclaration de l'OIT relative aux principes et droits fondamentaux au travail, ainsi que dans les </w:t>
      </w:r>
      <w:r w:rsidR="002234B6">
        <w:rPr>
          <w:sz w:val="16"/>
          <w:szCs w:val="16"/>
          <w:lang w:val="fr-FR"/>
        </w:rPr>
        <w:t>C</w:t>
      </w:r>
      <w:r w:rsidR="002234B6" w:rsidRPr="002234B6">
        <w:rPr>
          <w:sz w:val="16"/>
          <w:szCs w:val="16"/>
          <w:lang w:val="fr-FR"/>
        </w:rPr>
        <w:t>onventions 11, 87 et 98 de l'OIT</w:t>
      </w:r>
      <w:r w:rsidRPr="007D0DE4">
        <w:rPr>
          <w:sz w:val="16"/>
          <w:szCs w:val="16"/>
          <w:lang w:val="fr-FR"/>
        </w:rPr>
        <w:t xml:space="preserve">. </w:t>
      </w:r>
    </w:p>
  </w:footnote>
  <w:footnote w:id="9">
    <w:p w:rsidR="00E74327" w:rsidRPr="007D0DE4" w:rsidRDefault="004C4A1E">
      <w:pPr>
        <w:pStyle w:val="BodyA"/>
        <w:rPr>
          <w:rFonts w:hint="eastAsia"/>
          <w:lang w:val="fr-FR"/>
        </w:rPr>
      </w:pPr>
      <w:r w:rsidRPr="007D0DE4">
        <w:rPr>
          <w:vertAlign w:val="superscript"/>
          <w:lang w:val="fr-FR"/>
        </w:rPr>
        <w:footnoteRef/>
      </w:r>
      <w:r w:rsidRPr="007D0DE4">
        <w:rPr>
          <w:sz w:val="16"/>
          <w:szCs w:val="16"/>
          <w:lang w:val="fr-FR"/>
        </w:rPr>
        <w:t xml:space="preserve"> </w:t>
      </w:r>
      <w:r w:rsidR="002234B6">
        <w:rPr>
          <w:sz w:val="16"/>
          <w:szCs w:val="16"/>
          <w:lang w:val="fr-FR"/>
        </w:rPr>
        <w:t>Pacte i</w:t>
      </w:r>
      <w:r w:rsidRPr="007D0DE4">
        <w:rPr>
          <w:sz w:val="16"/>
          <w:szCs w:val="16"/>
          <w:lang w:val="fr-FR"/>
        </w:rPr>
        <w:t xml:space="preserve">nternational </w:t>
      </w:r>
      <w:r w:rsidR="002234B6">
        <w:rPr>
          <w:sz w:val="16"/>
          <w:szCs w:val="16"/>
          <w:lang w:val="fr-FR"/>
        </w:rPr>
        <w:t>relatif aux droits c</w:t>
      </w:r>
      <w:r w:rsidRPr="007D0DE4">
        <w:rPr>
          <w:sz w:val="16"/>
          <w:szCs w:val="16"/>
          <w:lang w:val="fr-FR"/>
        </w:rPr>
        <w:t>ivil</w:t>
      </w:r>
      <w:r w:rsidR="002234B6">
        <w:rPr>
          <w:sz w:val="16"/>
          <w:szCs w:val="16"/>
          <w:lang w:val="fr-FR"/>
        </w:rPr>
        <w:t>s et p</w:t>
      </w:r>
      <w:r w:rsidRPr="007D0DE4">
        <w:rPr>
          <w:sz w:val="16"/>
          <w:szCs w:val="16"/>
          <w:lang w:val="fr-FR"/>
        </w:rPr>
        <w:t>oliti</w:t>
      </w:r>
      <w:r w:rsidR="002234B6">
        <w:rPr>
          <w:sz w:val="16"/>
          <w:szCs w:val="16"/>
          <w:lang w:val="fr-FR"/>
        </w:rPr>
        <w:t>que</w:t>
      </w:r>
      <w:r w:rsidRPr="007D0DE4">
        <w:rPr>
          <w:sz w:val="16"/>
          <w:szCs w:val="16"/>
          <w:lang w:val="fr-FR"/>
        </w:rPr>
        <w:t xml:space="preserve">s, </w:t>
      </w:r>
      <w:r w:rsidR="002234B6">
        <w:rPr>
          <w:sz w:val="16"/>
          <w:szCs w:val="16"/>
          <w:lang w:val="fr-FR"/>
        </w:rPr>
        <w:t>Pacte i</w:t>
      </w:r>
      <w:r w:rsidRPr="007D0DE4">
        <w:rPr>
          <w:sz w:val="16"/>
          <w:szCs w:val="16"/>
          <w:lang w:val="fr-FR"/>
        </w:rPr>
        <w:t xml:space="preserve">nternational </w:t>
      </w:r>
      <w:r w:rsidR="002234B6">
        <w:rPr>
          <w:sz w:val="16"/>
          <w:szCs w:val="16"/>
          <w:lang w:val="fr-FR"/>
        </w:rPr>
        <w:t>relatif aux droits é</w:t>
      </w:r>
      <w:r w:rsidRPr="007D0DE4">
        <w:rPr>
          <w:sz w:val="16"/>
          <w:szCs w:val="16"/>
          <w:lang w:val="fr-FR"/>
        </w:rPr>
        <w:t>conomi</w:t>
      </w:r>
      <w:r w:rsidR="002234B6">
        <w:rPr>
          <w:sz w:val="16"/>
          <w:szCs w:val="16"/>
          <w:lang w:val="fr-FR"/>
        </w:rPr>
        <w:t>ques</w:t>
      </w:r>
      <w:r w:rsidRPr="007D0DE4">
        <w:rPr>
          <w:sz w:val="16"/>
          <w:szCs w:val="16"/>
          <w:lang w:val="fr-FR"/>
        </w:rPr>
        <w:t xml:space="preserve">, </w:t>
      </w:r>
      <w:r w:rsidR="002234B6">
        <w:rPr>
          <w:sz w:val="16"/>
          <w:szCs w:val="16"/>
          <w:lang w:val="fr-FR"/>
        </w:rPr>
        <w:t>s</w:t>
      </w:r>
      <w:r w:rsidRPr="007D0DE4">
        <w:rPr>
          <w:sz w:val="16"/>
          <w:szCs w:val="16"/>
          <w:lang w:val="fr-FR"/>
        </w:rPr>
        <w:t>ocia</w:t>
      </w:r>
      <w:r w:rsidR="002234B6">
        <w:rPr>
          <w:sz w:val="16"/>
          <w:szCs w:val="16"/>
          <w:lang w:val="fr-FR"/>
        </w:rPr>
        <w:t>ux et c</w:t>
      </w:r>
      <w:r w:rsidRPr="007D0DE4">
        <w:rPr>
          <w:sz w:val="16"/>
          <w:szCs w:val="16"/>
          <w:lang w:val="fr-FR"/>
        </w:rPr>
        <w:t>ultur</w:t>
      </w:r>
      <w:r w:rsidR="002234B6">
        <w:rPr>
          <w:sz w:val="16"/>
          <w:szCs w:val="16"/>
          <w:lang w:val="fr-FR"/>
        </w:rPr>
        <w:t>el</w:t>
      </w:r>
      <w:r w:rsidRPr="007D0DE4">
        <w:rPr>
          <w:sz w:val="16"/>
          <w:szCs w:val="16"/>
          <w:lang w:val="fr-FR"/>
        </w:rPr>
        <w:t xml:space="preserve">s, Convention </w:t>
      </w:r>
      <w:r w:rsidR="002234B6">
        <w:rPr>
          <w:sz w:val="16"/>
          <w:szCs w:val="16"/>
          <w:lang w:val="fr-FR"/>
        </w:rPr>
        <w:t>internationale sur l’é</w:t>
      </w:r>
      <w:r w:rsidRPr="007D0DE4">
        <w:rPr>
          <w:sz w:val="16"/>
          <w:szCs w:val="16"/>
          <w:lang w:val="fr-FR"/>
        </w:rPr>
        <w:t xml:space="preserve">limination </w:t>
      </w:r>
      <w:r w:rsidR="002234B6">
        <w:rPr>
          <w:sz w:val="16"/>
          <w:szCs w:val="16"/>
          <w:lang w:val="fr-FR"/>
        </w:rPr>
        <w:t>de toutes les</w:t>
      </w:r>
      <w:r w:rsidRPr="007D0DE4">
        <w:rPr>
          <w:sz w:val="16"/>
          <w:szCs w:val="16"/>
          <w:lang w:val="fr-FR"/>
        </w:rPr>
        <w:t xml:space="preserve"> form</w:t>
      </w:r>
      <w:r w:rsidR="002234B6">
        <w:rPr>
          <w:sz w:val="16"/>
          <w:szCs w:val="16"/>
          <w:lang w:val="fr-FR"/>
        </w:rPr>
        <w:t>e</w:t>
      </w:r>
      <w:r w:rsidRPr="007D0DE4">
        <w:rPr>
          <w:sz w:val="16"/>
          <w:szCs w:val="16"/>
          <w:lang w:val="fr-FR"/>
        </w:rPr>
        <w:t xml:space="preserve">s </w:t>
      </w:r>
      <w:r w:rsidR="002234B6">
        <w:rPr>
          <w:sz w:val="16"/>
          <w:szCs w:val="16"/>
          <w:lang w:val="fr-FR"/>
        </w:rPr>
        <w:t>de d</w:t>
      </w:r>
      <w:r w:rsidRPr="007D0DE4">
        <w:rPr>
          <w:sz w:val="16"/>
          <w:szCs w:val="16"/>
          <w:lang w:val="fr-FR"/>
        </w:rPr>
        <w:t>iscrimination</w:t>
      </w:r>
      <w:r w:rsidR="002234B6">
        <w:rPr>
          <w:sz w:val="16"/>
          <w:szCs w:val="16"/>
          <w:lang w:val="fr-FR"/>
        </w:rPr>
        <w:t xml:space="preserve"> raciale et la </w:t>
      </w:r>
      <w:r w:rsidRPr="007D0DE4">
        <w:rPr>
          <w:sz w:val="16"/>
          <w:szCs w:val="16"/>
          <w:lang w:val="fr-FR"/>
        </w:rPr>
        <w:t xml:space="preserve">Convention </w:t>
      </w:r>
      <w:r w:rsidR="002234B6">
        <w:rPr>
          <w:sz w:val="16"/>
          <w:szCs w:val="16"/>
          <w:lang w:val="fr-FR"/>
        </w:rPr>
        <w:t>sur l’é</w:t>
      </w:r>
      <w:r w:rsidRPr="007D0DE4">
        <w:rPr>
          <w:sz w:val="16"/>
          <w:szCs w:val="16"/>
          <w:lang w:val="fr-FR"/>
        </w:rPr>
        <w:t xml:space="preserve">limination </w:t>
      </w:r>
      <w:r w:rsidR="002234B6">
        <w:rPr>
          <w:sz w:val="16"/>
          <w:szCs w:val="16"/>
          <w:lang w:val="fr-FR"/>
        </w:rPr>
        <w:t>de toutes les</w:t>
      </w:r>
      <w:r w:rsidRPr="007D0DE4">
        <w:rPr>
          <w:sz w:val="16"/>
          <w:szCs w:val="16"/>
          <w:lang w:val="fr-FR"/>
        </w:rPr>
        <w:t xml:space="preserve"> form</w:t>
      </w:r>
      <w:r w:rsidR="002234B6">
        <w:rPr>
          <w:sz w:val="16"/>
          <w:szCs w:val="16"/>
          <w:lang w:val="fr-FR"/>
        </w:rPr>
        <w:t>es de d</w:t>
      </w:r>
      <w:r w:rsidRPr="007D0DE4">
        <w:rPr>
          <w:sz w:val="16"/>
          <w:szCs w:val="16"/>
          <w:lang w:val="fr-FR"/>
        </w:rPr>
        <w:t xml:space="preserve">iscrimination </w:t>
      </w:r>
      <w:r w:rsidR="002234B6">
        <w:rPr>
          <w:sz w:val="16"/>
          <w:szCs w:val="16"/>
          <w:lang w:val="fr-FR"/>
        </w:rPr>
        <w:t>à l’égard des femmes.</w:t>
      </w:r>
      <w:r w:rsidRPr="007D0DE4">
        <w:rPr>
          <w:sz w:val="16"/>
          <w:szCs w:val="16"/>
          <w:lang w:val="fr-FR"/>
        </w:rPr>
        <w:t xml:space="preserve"> </w:t>
      </w:r>
    </w:p>
  </w:footnote>
  <w:footnote w:id="10">
    <w:p w:rsidR="00E74327" w:rsidRPr="007D0DE4" w:rsidRDefault="004C4A1E">
      <w:pPr>
        <w:pStyle w:val="BodyA"/>
        <w:rPr>
          <w:rFonts w:hint="eastAsia"/>
          <w:lang w:val="fr-FR"/>
        </w:rPr>
      </w:pPr>
      <w:r w:rsidRPr="007D0DE4">
        <w:rPr>
          <w:vertAlign w:val="superscript"/>
          <w:lang w:val="fr-FR"/>
        </w:rPr>
        <w:footnoteRef/>
      </w:r>
      <w:r w:rsidRPr="007D0DE4">
        <w:rPr>
          <w:sz w:val="16"/>
          <w:szCs w:val="16"/>
          <w:lang w:val="fr-FR"/>
        </w:rPr>
        <w:t xml:space="preserve"> </w:t>
      </w:r>
      <w:r w:rsidR="002234B6">
        <w:rPr>
          <w:rFonts w:hint="eastAsia"/>
          <w:sz w:val="16"/>
          <w:szCs w:val="16"/>
          <w:lang w:val="fr-FR"/>
        </w:rPr>
        <w:t>A</w:t>
      </w:r>
      <w:r w:rsidR="002234B6">
        <w:rPr>
          <w:sz w:val="16"/>
          <w:szCs w:val="16"/>
          <w:lang w:val="fr-FR"/>
        </w:rPr>
        <w:t xml:space="preserve"> titre d’’</w:t>
      </w:r>
      <w:r w:rsidRPr="007D0DE4">
        <w:rPr>
          <w:sz w:val="16"/>
          <w:szCs w:val="16"/>
          <w:lang w:val="fr-FR"/>
        </w:rPr>
        <w:t>ex</w:t>
      </w:r>
      <w:r w:rsidR="002234B6">
        <w:rPr>
          <w:sz w:val="16"/>
          <w:szCs w:val="16"/>
          <w:lang w:val="fr-FR"/>
        </w:rPr>
        <w:t>e</w:t>
      </w:r>
      <w:r w:rsidRPr="007D0DE4">
        <w:rPr>
          <w:sz w:val="16"/>
          <w:szCs w:val="16"/>
          <w:lang w:val="fr-FR"/>
        </w:rPr>
        <w:t xml:space="preserve">mple, </w:t>
      </w:r>
      <w:r w:rsidR="002234B6" w:rsidRPr="002234B6">
        <w:rPr>
          <w:sz w:val="16"/>
          <w:szCs w:val="16"/>
          <w:lang w:val="fr-FR"/>
        </w:rPr>
        <w:t xml:space="preserve">dans une </w:t>
      </w:r>
      <w:r w:rsidR="002234B6">
        <w:rPr>
          <w:sz w:val="16"/>
          <w:szCs w:val="16"/>
          <w:lang w:val="fr-FR"/>
        </w:rPr>
        <w:t>O</w:t>
      </w:r>
      <w:r w:rsidR="002234B6" w:rsidRPr="002234B6">
        <w:rPr>
          <w:sz w:val="16"/>
          <w:szCs w:val="16"/>
          <w:lang w:val="fr-FR"/>
        </w:rPr>
        <w:t xml:space="preserve">bservation finale de 2022, le Comité pour l'élimination de la discrimination raciale s'est dit préoccupé par le fait que les droits du travail ne couvrent pas explicitement le secteur informel et le travail domestique, </w:t>
      </w:r>
      <w:r w:rsidR="002234B6">
        <w:rPr>
          <w:sz w:val="16"/>
          <w:szCs w:val="16"/>
          <w:lang w:val="fr-FR"/>
        </w:rPr>
        <w:t>« </w:t>
      </w:r>
      <w:r w:rsidR="002234B6" w:rsidRPr="002234B6">
        <w:rPr>
          <w:sz w:val="16"/>
          <w:szCs w:val="16"/>
          <w:lang w:val="fr-FR"/>
        </w:rPr>
        <w:t xml:space="preserve">deux secteurs dans lesquels les femmes noires prédominent et sont confrontées à de faibles salaires, à de mauvaises conditions de travail et à un traitement raciste et déshumanisant de la part des employeurs et des gardiens de différentes identités raciales ou ethnolinguistiques, ce qui rappelle l'époque </w:t>
      </w:r>
      <w:r w:rsidR="002234B6">
        <w:rPr>
          <w:sz w:val="16"/>
          <w:szCs w:val="16"/>
          <w:lang w:val="fr-FR"/>
        </w:rPr>
        <w:t>antérieure à l’</w:t>
      </w:r>
      <w:r w:rsidR="002234B6" w:rsidRPr="002234B6">
        <w:rPr>
          <w:sz w:val="16"/>
          <w:szCs w:val="16"/>
          <w:lang w:val="fr-FR"/>
        </w:rPr>
        <w:t>indépendance</w:t>
      </w:r>
      <w:r w:rsidR="002234B6">
        <w:rPr>
          <w:sz w:val="16"/>
          <w:szCs w:val="16"/>
          <w:lang w:val="fr-FR"/>
        </w:rPr>
        <w:t> ».</w:t>
      </w:r>
      <w:r w:rsidRPr="007D0DE4">
        <w:rPr>
          <w:sz w:val="16"/>
          <w:szCs w:val="16"/>
          <w:lang w:val="fr-FR"/>
        </w:rPr>
        <w:t xml:space="preserve"> </w:t>
      </w:r>
    </w:p>
  </w:footnote>
  <w:footnote w:id="11">
    <w:p w:rsidR="00E74327" w:rsidRPr="007D0DE4" w:rsidRDefault="004C4A1E">
      <w:pPr>
        <w:pStyle w:val="Default"/>
        <w:rPr>
          <w:lang w:val="fr-FR"/>
        </w:rPr>
      </w:pPr>
      <w:r w:rsidRPr="007D0DE4">
        <w:rPr>
          <w:vertAlign w:val="superscript"/>
          <w:lang w:val="fr-FR"/>
        </w:rPr>
        <w:footnoteRef/>
      </w:r>
      <w:r w:rsidRPr="007D0DE4">
        <w:rPr>
          <w:rFonts w:eastAsia="Arial Unicode MS" w:cs="Arial Unicode MS"/>
          <w:sz w:val="16"/>
          <w:szCs w:val="16"/>
          <w:lang w:val="fr-FR"/>
        </w:rPr>
        <w:t xml:space="preserve"> A</w:t>
      </w:r>
      <w:r w:rsidR="002234B6">
        <w:rPr>
          <w:rFonts w:eastAsia="Arial Unicode MS" w:cs="Arial Unicode MS"/>
          <w:sz w:val="16"/>
          <w:szCs w:val="16"/>
          <w:lang w:val="fr-FR"/>
        </w:rPr>
        <w:t xml:space="preserve">rticle 2 de la </w:t>
      </w:r>
      <w:r w:rsidRPr="007D0DE4">
        <w:rPr>
          <w:rFonts w:eastAsia="Arial Unicode MS" w:cs="Arial Unicode MS"/>
          <w:sz w:val="16"/>
          <w:szCs w:val="16"/>
          <w:lang w:val="fr-FR"/>
        </w:rPr>
        <w:t>C</w:t>
      </w:r>
      <w:r w:rsidR="002234B6">
        <w:rPr>
          <w:rFonts w:eastAsia="Arial Unicode MS" w:cs="Arial Unicode MS"/>
          <w:sz w:val="16"/>
          <w:szCs w:val="16"/>
          <w:lang w:val="fr-FR"/>
        </w:rPr>
        <w:t>AD</w:t>
      </w:r>
      <w:r w:rsidRPr="007D0DE4">
        <w:rPr>
          <w:rFonts w:eastAsia="Arial Unicode MS" w:cs="Arial Unicode MS"/>
          <w:sz w:val="16"/>
          <w:szCs w:val="16"/>
          <w:lang w:val="fr-FR"/>
        </w:rPr>
        <w:t>HP</w:t>
      </w:r>
      <w:r w:rsidR="002234B6">
        <w:rPr>
          <w:rFonts w:eastAsia="Arial Unicode MS" w:cs="Arial Unicode MS"/>
          <w:sz w:val="16"/>
          <w:szCs w:val="16"/>
          <w:lang w:val="fr-FR"/>
        </w:rPr>
        <w:t>.</w:t>
      </w:r>
    </w:p>
  </w:footnote>
  <w:footnote w:id="12">
    <w:p w:rsidR="00E74327" w:rsidRPr="007D0DE4" w:rsidRDefault="004C4A1E">
      <w:pPr>
        <w:pStyle w:val="BodyA"/>
        <w:rPr>
          <w:rFonts w:hint="eastAsia"/>
          <w:lang w:val="fr-FR"/>
        </w:rPr>
      </w:pPr>
      <w:r w:rsidRPr="007D0DE4">
        <w:rPr>
          <w:vertAlign w:val="superscript"/>
          <w:lang w:val="fr-FR"/>
        </w:rPr>
        <w:footnoteRef/>
      </w:r>
      <w:r w:rsidRPr="007D0DE4">
        <w:rPr>
          <w:sz w:val="16"/>
          <w:szCs w:val="16"/>
          <w:lang w:val="fr-FR"/>
        </w:rPr>
        <w:t xml:space="preserve"> </w:t>
      </w:r>
      <w:r w:rsidRPr="002234B6">
        <w:rPr>
          <w:i/>
          <w:iCs/>
          <w:sz w:val="16"/>
          <w:szCs w:val="16"/>
          <w:lang w:val="fr-FR"/>
        </w:rPr>
        <w:t xml:space="preserve">Zimbabwe Lawyers for Human Rights &amp; Associated Newspapers of Zimbabwe </w:t>
      </w:r>
      <w:r w:rsidR="002234B6">
        <w:rPr>
          <w:i/>
          <w:iCs/>
          <w:sz w:val="16"/>
          <w:szCs w:val="16"/>
          <w:lang w:val="fr-FR"/>
        </w:rPr>
        <w:t>c/</w:t>
      </w:r>
      <w:r w:rsidRPr="002234B6">
        <w:rPr>
          <w:i/>
          <w:iCs/>
          <w:sz w:val="16"/>
          <w:szCs w:val="16"/>
          <w:lang w:val="fr-FR"/>
        </w:rPr>
        <w:t xml:space="preserve"> Zimbabwe</w:t>
      </w:r>
      <w:r w:rsidRPr="007D0DE4">
        <w:rPr>
          <w:sz w:val="16"/>
          <w:szCs w:val="16"/>
          <w:lang w:val="fr-FR"/>
        </w:rPr>
        <w:t xml:space="preserve">, Communication 284/03, </w:t>
      </w:r>
      <w:r w:rsidR="002234B6">
        <w:rPr>
          <w:sz w:val="16"/>
          <w:szCs w:val="16"/>
          <w:lang w:val="fr-FR"/>
        </w:rPr>
        <w:t xml:space="preserve">Commission africaine </w:t>
      </w:r>
      <w:r w:rsidRPr="007D0DE4">
        <w:rPr>
          <w:sz w:val="16"/>
          <w:szCs w:val="16"/>
          <w:lang w:val="fr-FR"/>
        </w:rPr>
        <w:t xml:space="preserve">H.P.R. (3 </w:t>
      </w:r>
      <w:r w:rsidR="002234B6">
        <w:rPr>
          <w:sz w:val="16"/>
          <w:szCs w:val="16"/>
          <w:lang w:val="fr-FR"/>
        </w:rPr>
        <w:t>avril</w:t>
      </w:r>
      <w:r w:rsidRPr="007D0DE4">
        <w:rPr>
          <w:sz w:val="16"/>
          <w:szCs w:val="16"/>
          <w:lang w:val="fr-FR"/>
        </w:rPr>
        <w:t xml:space="preserve"> 2009) at ¶ 91.  </w:t>
      </w:r>
      <w:r w:rsidR="002234B6" w:rsidRPr="0099338D">
        <w:rPr>
          <w:sz w:val="16"/>
          <w:szCs w:val="16"/>
          <w:lang w:val="fr-FR"/>
        </w:rPr>
        <w:t>Corollaire de l'Article 2, l'Article 3 de la CADHP dispose que « tou</w:t>
      </w:r>
      <w:r w:rsidR="0099338D" w:rsidRPr="0099338D">
        <w:rPr>
          <w:sz w:val="16"/>
          <w:szCs w:val="16"/>
          <w:lang w:val="fr-FR"/>
        </w:rPr>
        <w:t>tes</w:t>
      </w:r>
      <w:r w:rsidR="002234B6" w:rsidRPr="0099338D">
        <w:rPr>
          <w:sz w:val="16"/>
          <w:szCs w:val="16"/>
          <w:lang w:val="fr-FR"/>
        </w:rPr>
        <w:t xml:space="preserve"> les </w:t>
      </w:r>
      <w:r w:rsidR="0099338D" w:rsidRPr="0099338D">
        <w:rPr>
          <w:sz w:val="16"/>
          <w:szCs w:val="16"/>
          <w:lang w:val="fr-FR"/>
        </w:rPr>
        <w:t>personnes »</w:t>
      </w:r>
      <w:r w:rsidR="002234B6" w:rsidRPr="0099338D">
        <w:rPr>
          <w:sz w:val="16"/>
          <w:szCs w:val="16"/>
          <w:lang w:val="fr-FR"/>
        </w:rPr>
        <w:t xml:space="preserve"> </w:t>
      </w:r>
      <w:r w:rsidR="0099338D" w:rsidRPr="0099338D">
        <w:rPr>
          <w:sz w:val="16"/>
          <w:szCs w:val="16"/>
          <w:lang w:val="fr-FR"/>
        </w:rPr>
        <w:t>« bénéficient d’une totale égalité devant la loi</w:t>
      </w:r>
      <w:r w:rsidR="002234B6" w:rsidRPr="0099338D">
        <w:rPr>
          <w:sz w:val="16"/>
          <w:szCs w:val="16"/>
          <w:lang w:val="fr-FR"/>
        </w:rPr>
        <w:t xml:space="preserve"> et ont droit à une égale protection de la loi</w:t>
      </w:r>
      <w:r w:rsidR="0099338D">
        <w:rPr>
          <w:sz w:val="16"/>
          <w:szCs w:val="16"/>
          <w:lang w:val="fr-FR"/>
        </w:rPr>
        <w:t> »</w:t>
      </w:r>
      <w:r w:rsidR="002234B6" w:rsidRPr="0099338D">
        <w:rPr>
          <w:sz w:val="16"/>
          <w:szCs w:val="16"/>
          <w:lang w:val="fr-FR"/>
        </w:rPr>
        <w:t>. La Commission a indiqué que l'</w:t>
      </w:r>
      <w:r w:rsidR="0099338D">
        <w:rPr>
          <w:sz w:val="16"/>
          <w:szCs w:val="16"/>
          <w:lang w:val="fr-FR"/>
        </w:rPr>
        <w:t>A</w:t>
      </w:r>
      <w:r w:rsidR="002234B6" w:rsidRPr="0099338D">
        <w:rPr>
          <w:sz w:val="16"/>
          <w:szCs w:val="16"/>
          <w:lang w:val="fr-FR"/>
        </w:rPr>
        <w:t xml:space="preserve">rticle 3 </w:t>
      </w:r>
      <w:r w:rsidR="0099338D">
        <w:rPr>
          <w:sz w:val="16"/>
          <w:szCs w:val="16"/>
          <w:lang w:val="fr-FR"/>
        </w:rPr>
        <w:t>« </w:t>
      </w:r>
      <w:r w:rsidR="002234B6" w:rsidRPr="0099338D">
        <w:rPr>
          <w:sz w:val="16"/>
          <w:szCs w:val="16"/>
          <w:lang w:val="fr-FR"/>
        </w:rPr>
        <w:t>contient une garantie générale d'égalité qui complète</w:t>
      </w:r>
      <w:r w:rsidR="002234B6" w:rsidRPr="002234B6">
        <w:rPr>
          <w:sz w:val="16"/>
          <w:szCs w:val="16"/>
          <w:lang w:val="fr-FR"/>
        </w:rPr>
        <w:t xml:space="preserve"> l'interdiction de discrimination prévue à l'</w:t>
      </w:r>
      <w:r w:rsidR="0099338D">
        <w:rPr>
          <w:sz w:val="16"/>
          <w:szCs w:val="16"/>
          <w:lang w:val="fr-FR"/>
        </w:rPr>
        <w:t>A</w:t>
      </w:r>
      <w:r w:rsidR="002234B6" w:rsidRPr="002234B6">
        <w:rPr>
          <w:sz w:val="16"/>
          <w:szCs w:val="16"/>
          <w:lang w:val="fr-FR"/>
        </w:rPr>
        <w:t>rticle 2</w:t>
      </w:r>
      <w:r w:rsidR="0099338D">
        <w:rPr>
          <w:sz w:val="16"/>
          <w:szCs w:val="16"/>
          <w:lang w:val="fr-FR"/>
        </w:rPr>
        <w:t> »</w:t>
      </w:r>
      <w:r w:rsidRPr="007D0DE4">
        <w:rPr>
          <w:b/>
          <w:bCs/>
          <w:sz w:val="16"/>
          <w:szCs w:val="16"/>
          <w:lang w:val="fr-FR"/>
        </w:rPr>
        <w:t xml:space="preserve">. </w:t>
      </w:r>
    </w:p>
  </w:footnote>
  <w:footnote w:id="13">
    <w:p w:rsidR="000B0B88" w:rsidRPr="007D0DE4" w:rsidRDefault="000B0B88" w:rsidP="000B0B88">
      <w:pPr>
        <w:pStyle w:val="BodyA"/>
        <w:rPr>
          <w:rFonts w:hint="eastAsia"/>
          <w:lang w:val="fr-FR"/>
        </w:rPr>
      </w:pPr>
      <w:r w:rsidRPr="007D0DE4">
        <w:rPr>
          <w:vertAlign w:val="superscript"/>
          <w:lang w:val="fr-FR"/>
        </w:rPr>
        <w:footnoteRef/>
      </w:r>
      <w:r w:rsidRPr="007D0DE4">
        <w:rPr>
          <w:sz w:val="16"/>
          <w:szCs w:val="16"/>
          <w:lang w:val="fr-FR"/>
        </w:rPr>
        <w:t xml:space="preserve"> </w:t>
      </w:r>
      <w:r w:rsidR="0099338D">
        <w:rPr>
          <w:i/>
          <w:iCs/>
          <w:sz w:val="16"/>
          <w:szCs w:val="16"/>
          <w:lang w:val="fr-FR"/>
        </w:rPr>
        <w:t>Voir</w:t>
      </w:r>
      <w:r w:rsidRPr="007D0DE4">
        <w:rPr>
          <w:i/>
          <w:iCs/>
          <w:sz w:val="16"/>
          <w:szCs w:val="16"/>
          <w:lang w:val="fr-FR"/>
        </w:rPr>
        <w:t xml:space="preserve"> </w:t>
      </w:r>
      <w:r w:rsidRPr="0099338D">
        <w:rPr>
          <w:i/>
          <w:iCs/>
          <w:sz w:val="16"/>
          <w:szCs w:val="16"/>
          <w:lang w:val="fr-FR"/>
        </w:rPr>
        <w:t xml:space="preserve">Open Society Justice Initiative </w:t>
      </w:r>
      <w:r w:rsidR="0099338D">
        <w:rPr>
          <w:i/>
          <w:iCs/>
          <w:sz w:val="16"/>
          <w:szCs w:val="16"/>
          <w:lang w:val="fr-FR"/>
        </w:rPr>
        <w:t>c/</w:t>
      </w:r>
      <w:r w:rsidRPr="0099338D">
        <w:rPr>
          <w:i/>
          <w:iCs/>
          <w:sz w:val="16"/>
          <w:szCs w:val="16"/>
          <w:lang w:val="fr-FR"/>
        </w:rPr>
        <w:t xml:space="preserve"> Côte d’Ivoire</w:t>
      </w:r>
      <w:r w:rsidRPr="007D0DE4">
        <w:rPr>
          <w:sz w:val="16"/>
          <w:szCs w:val="16"/>
          <w:lang w:val="fr-FR"/>
        </w:rPr>
        <w:t>, Communication 318/06, Comm</w:t>
      </w:r>
      <w:r w:rsidR="0099338D">
        <w:rPr>
          <w:sz w:val="16"/>
          <w:szCs w:val="16"/>
          <w:lang w:val="fr-FR"/>
        </w:rPr>
        <w:t>ission africaine</w:t>
      </w:r>
      <w:r w:rsidRPr="007D0DE4">
        <w:rPr>
          <w:sz w:val="16"/>
          <w:szCs w:val="16"/>
          <w:lang w:val="fr-FR"/>
        </w:rPr>
        <w:t xml:space="preserve"> H.P.R ¶ 144 (27 </w:t>
      </w:r>
      <w:r w:rsidR="0099338D">
        <w:rPr>
          <w:sz w:val="16"/>
          <w:szCs w:val="16"/>
          <w:lang w:val="fr-FR"/>
        </w:rPr>
        <w:t>mai</w:t>
      </w:r>
      <w:r w:rsidRPr="007D0DE4">
        <w:rPr>
          <w:sz w:val="16"/>
          <w:szCs w:val="16"/>
          <w:lang w:val="fr-FR"/>
        </w:rPr>
        <w:t xml:space="preserve"> 2016). </w:t>
      </w:r>
    </w:p>
  </w:footnote>
  <w:footnote w:id="14">
    <w:p w:rsidR="00E74327" w:rsidRPr="007D0DE4" w:rsidRDefault="004C4A1E">
      <w:pPr>
        <w:pStyle w:val="BodyA"/>
        <w:rPr>
          <w:rFonts w:hint="eastAsia"/>
          <w:lang w:val="fr-FR"/>
        </w:rPr>
      </w:pPr>
      <w:r w:rsidRPr="007D0DE4">
        <w:rPr>
          <w:vertAlign w:val="superscript"/>
          <w:lang w:val="fr-FR"/>
        </w:rPr>
        <w:footnoteRef/>
      </w:r>
      <w:r w:rsidRPr="007D0DE4">
        <w:rPr>
          <w:sz w:val="16"/>
          <w:szCs w:val="16"/>
          <w:lang w:val="fr-FR"/>
        </w:rPr>
        <w:t xml:space="preserve"> </w:t>
      </w:r>
      <w:r w:rsidR="0099338D" w:rsidRPr="0099338D">
        <w:rPr>
          <w:sz w:val="16"/>
          <w:szCs w:val="16"/>
          <w:lang w:val="fr-FR"/>
        </w:rPr>
        <w:t xml:space="preserve">La compatibilité des lois sur le vagabondage avec la Charte africaine des droits de l'homme et des peuples et les autres instruments relatifs aux droits de l'homme applicables en Afrique, Avis consultatif n° 001, Cour africaine des droits de l'homme et des peuples (4 décembre 2020) [ci-après </w:t>
      </w:r>
      <w:r w:rsidR="0099338D">
        <w:rPr>
          <w:sz w:val="16"/>
          <w:szCs w:val="16"/>
          <w:lang w:val="fr-FR"/>
        </w:rPr>
        <w:t>« </w:t>
      </w:r>
      <w:r w:rsidR="0099338D" w:rsidRPr="0099338D">
        <w:rPr>
          <w:sz w:val="16"/>
          <w:szCs w:val="16"/>
          <w:lang w:val="fr-FR"/>
        </w:rPr>
        <w:t>Avis de la C</w:t>
      </w:r>
      <w:r w:rsidR="0099338D">
        <w:rPr>
          <w:sz w:val="16"/>
          <w:szCs w:val="16"/>
          <w:lang w:val="fr-FR"/>
        </w:rPr>
        <w:t>our</w:t>
      </w:r>
      <w:r w:rsidR="0099338D" w:rsidRPr="0099338D">
        <w:rPr>
          <w:sz w:val="16"/>
          <w:szCs w:val="16"/>
          <w:lang w:val="fr-FR"/>
        </w:rPr>
        <w:t xml:space="preserve"> afr</w:t>
      </w:r>
      <w:r w:rsidR="0099338D">
        <w:rPr>
          <w:sz w:val="16"/>
          <w:szCs w:val="16"/>
          <w:lang w:val="fr-FR"/>
        </w:rPr>
        <w:t>icaine</w:t>
      </w:r>
      <w:r w:rsidR="0099338D" w:rsidRPr="0099338D">
        <w:rPr>
          <w:sz w:val="16"/>
          <w:szCs w:val="16"/>
          <w:lang w:val="fr-FR"/>
        </w:rPr>
        <w:t xml:space="preserve"> H.P.R. sur le vagabondage</w:t>
      </w:r>
      <w:r w:rsidR="0099338D">
        <w:rPr>
          <w:sz w:val="16"/>
          <w:szCs w:val="16"/>
          <w:lang w:val="fr-FR"/>
        </w:rPr>
        <w:t> »</w:t>
      </w:r>
      <w:r w:rsidR="0099338D" w:rsidRPr="0099338D">
        <w:rPr>
          <w:sz w:val="16"/>
          <w:szCs w:val="16"/>
          <w:lang w:val="fr-FR"/>
        </w:rPr>
        <w:t xml:space="preserve">], </w:t>
      </w:r>
      <w:r w:rsidR="0099338D">
        <w:rPr>
          <w:sz w:val="16"/>
          <w:szCs w:val="16"/>
          <w:lang w:val="fr-FR"/>
        </w:rPr>
        <w:t xml:space="preserve">paragraphe </w:t>
      </w:r>
      <w:r w:rsidR="0099338D" w:rsidRPr="0099338D">
        <w:rPr>
          <w:sz w:val="16"/>
          <w:szCs w:val="16"/>
          <w:lang w:val="fr-FR"/>
        </w:rPr>
        <w:t xml:space="preserve">66, </w:t>
      </w:r>
      <w:r w:rsidR="0099338D">
        <w:rPr>
          <w:sz w:val="16"/>
          <w:szCs w:val="16"/>
          <w:lang w:val="fr-FR"/>
        </w:rPr>
        <w:t xml:space="preserve">consultable sur </w:t>
      </w:r>
      <w:r w:rsidRPr="007D0DE4">
        <w:rPr>
          <w:sz w:val="16"/>
          <w:szCs w:val="16"/>
          <w:lang w:val="fr-FR"/>
        </w:rPr>
        <w:t xml:space="preserve"> </w:t>
      </w:r>
      <w:r w:rsidRPr="007D0DE4">
        <w:rPr>
          <w:rStyle w:val="Hyperlink0"/>
          <w:lang w:val="fr-FR"/>
        </w:rPr>
        <w:t>http://www.african-court.org/en/images/Cases/Advisory%20Opinion/Advisory%20Opinions/001-2018_-_PALU-Advisory_Opinion.pdf</w:t>
      </w:r>
      <w:r w:rsidRPr="007D0DE4">
        <w:rPr>
          <w:rStyle w:val="None"/>
          <w:sz w:val="16"/>
          <w:szCs w:val="16"/>
          <w:lang w:val="fr-FR"/>
        </w:rPr>
        <w:t xml:space="preserve">  </w:t>
      </w:r>
    </w:p>
  </w:footnote>
  <w:footnote w:id="15">
    <w:p w:rsidR="00E74327" w:rsidRPr="007D0DE4" w:rsidRDefault="004C4A1E">
      <w:pPr>
        <w:pStyle w:val="BodyA"/>
        <w:rPr>
          <w:rFonts w:hint="eastAsia"/>
          <w:lang w:val="fr-FR"/>
        </w:rPr>
      </w:pPr>
      <w:r w:rsidRPr="007D0DE4">
        <w:rPr>
          <w:rStyle w:val="None"/>
          <w:vertAlign w:val="superscript"/>
          <w:lang w:val="fr-FR"/>
        </w:rPr>
        <w:footnoteRef/>
      </w:r>
      <w:r w:rsidRPr="007D0DE4">
        <w:rPr>
          <w:rStyle w:val="None"/>
          <w:sz w:val="16"/>
          <w:szCs w:val="16"/>
          <w:lang w:val="fr-FR"/>
        </w:rPr>
        <w:t xml:space="preserve"> </w:t>
      </w:r>
      <w:r w:rsidR="0099338D">
        <w:rPr>
          <w:rStyle w:val="None"/>
          <w:sz w:val="16"/>
          <w:szCs w:val="16"/>
          <w:lang w:val="fr-FR"/>
        </w:rPr>
        <w:t>Avis sur le vagabondage, Cour africaine</w:t>
      </w:r>
      <w:r w:rsidRPr="007D0DE4">
        <w:rPr>
          <w:rStyle w:val="None"/>
          <w:sz w:val="16"/>
          <w:szCs w:val="16"/>
          <w:lang w:val="fr-FR"/>
        </w:rPr>
        <w:t xml:space="preserve"> H.P.R.</w:t>
      </w:r>
      <w:r w:rsidR="0099338D">
        <w:rPr>
          <w:rStyle w:val="None"/>
          <w:sz w:val="16"/>
          <w:szCs w:val="16"/>
          <w:lang w:val="fr-FR"/>
        </w:rPr>
        <w:t>, paragraphe</w:t>
      </w:r>
      <w:r w:rsidRPr="007D0DE4">
        <w:rPr>
          <w:rStyle w:val="None"/>
          <w:sz w:val="16"/>
          <w:szCs w:val="16"/>
          <w:lang w:val="fr-FR"/>
        </w:rPr>
        <w:t xml:space="preserve"> ¶ 66. </w:t>
      </w:r>
    </w:p>
  </w:footnote>
  <w:footnote w:id="16">
    <w:p w:rsidR="00E74327" w:rsidRPr="007D0DE4" w:rsidRDefault="004C4A1E">
      <w:pPr>
        <w:pStyle w:val="BodyA"/>
        <w:rPr>
          <w:rFonts w:hint="eastAsia"/>
          <w:lang w:val="fr-FR"/>
        </w:rPr>
      </w:pPr>
      <w:r w:rsidRPr="007D0DE4">
        <w:rPr>
          <w:rStyle w:val="None"/>
          <w:vertAlign w:val="superscript"/>
          <w:lang w:val="fr-FR"/>
        </w:rPr>
        <w:footnoteRef/>
      </w:r>
      <w:r w:rsidRPr="007D0DE4">
        <w:rPr>
          <w:rStyle w:val="None"/>
          <w:sz w:val="16"/>
          <w:szCs w:val="16"/>
          <w:lang w:val="fr-FR"/>
        </w:rPr>
        <w:t xml:space="preserve"> </w:t>
      </w:r>
      <w:r w:rsidR="0099338D">
        <w:rPr>
          <w:rStyle w:val="None"/>
          <w:sz w:val="16"/>
          <w:szCs w:val="16"/>
          <w:lang w:val="fr-FR"/>
        </w:rPr>
        <w:t>Avis sur le vagabondage, Cour africaine</w:t>
      </w:r>
      <w:r w:rsidR="0099338D" w:rsidRPr="007D0DE4">
        <w:rPr>
          <w:rStyle w:val="None"/>
          <w:sz w:val="16"/>
          <w:szCs w:val="16"/>
          <w:lang w:val="fr-FR"/>
        </w:rPr>
        <w:t xml:space="preserve"> H.P.R.</w:t>
      </w:r>
      <w:r w:rsidR="0099338D">
        <w:rPr>
          <w:rStyle w:val="None"/>
          <w:sz w:val="16"/>
          <w:szCs w:val="16"/>
          <w:lang w:val="fr-FR"/>
        </w:rPr>
        <w:t>, paragraphes</w:t>
      </w:r>
      <w:r w:rsidRPr="007D0DE4">
        <w:rPr>
          <w:rStyle w:val="None"/>
          <w:sz w:val="16"/>
          <w:szCs w:val="16"/>
          <w:lang w:val="fr-FR"/>
        </w:rPr>
        <w:t xml:space="preserve"> 72</w:t>
      </w:r>
      <w:r w:rsidR="0099338D">
        <w:rPr>
          <w:rStyle w:val="None"/>
          <w:sz w:val="16"/>
          <w:szCs w:val="16"/>
          <w:lang w:val="fr-FR"/>
        </w:rPr>
        <w:t>,</w:t>
      </w:r>
      <w:r w:rsidRPr="007D0DE4">
        <w:rPr>
          <w:rStyle w:val="None"/>
          <w:sz w:val="16"/>
          <w:szCs w:val="16"/>
          <w:lang w:val="fr-FR"/>
        </w:rPr>
        <w:t xml:space="preserve"> 64</w:t>
      </w:r>
      <w:r w:rsidR="0099338D">
        <w:rPr>
          <w:rStyle w:val="None"/>
          <w:sz w:val="16"/>
          <w:szCs w:val="16"/>
          <w:lang w:val="fr-FR"/>
        </w:rPr>
        <w:t xml:space="preserve"> à </w:t>
      </w:r>
      <w:r w:rsidRPr="007D0DE4">
        <w:rPr>
          <w:rStyle w:val="None"/>
          <w:sz w:val="16"/>
          <w:szCs w:val="16"/>
          <w:lang w:val="fr-FR"/>
        </w:rPr>
        <w:t>75.</w:t>
      </w:r>
    </w:p>
  </w:footnote>
  <w:footnote w:id="17">
    <w:p w:rsidR="00E74327" w:rsidRPr="007D0DE4" w:rsidRDefault="004C4A1E">
      <w:pPr>
        <w:pStyle w:val="BodyA"/>
        <w:rPr>
          <w:rFonts w:hint="eastAsia"/>
          <w:lang w:val="fr-FR"/>
        </w:rPr>
      </w:pPr>
      <w:r w:rsidRPr="007D0DE4">
        <w:rPr>
          <w:rStyle w:val="None"/>
          <w:vertAlign w:val="superscript"/>
          <w:lang w:val="fr-FR"/>
        </w:rPr>
        <w:footnoteRef/>
      </w:r>
      <w:r w:rsidRPr="007D0DE4">
        <w:rPr>
          <w:rStyle w:val="None"/>
          <w:sz w:val="16"/>
          <w:szCs w:val="16"/>
          <w:lang w:val="fr-FR"/>
        </w:rPr>
        <w:t xml:space="preserve"> </w:t>
      </w:r>
      <w:r w:rsidR="0099338D">
        <w:rPr>
          <w:rStyle w:val="None"/>
          <w:sz w:val="16"/>
          <w:szCs w:val="16"/>
          <w:lang w:val="fr-FR"/>
        </w:rPr>
        <w:t>Avis sur le vagabondage, Cour africaine</w:t>
      </w:r>
      <w:r w:rsidR="0099338D" w:rsidRPr="007D0DE4">
        <w:rPr>
          <w:rStyle w:val="None"/>
          <w:sz w:val="16"/>
          <w:szCs w:val="16"/>
          <w:lang w:val="fr-FR"/>
        </w:rPr>
        <w:t xml:space="preserve"> H.P.R.</w:t>
      </w:r>
      <w:r w:rsidR="0099338D">
        <w:rPr>
          <w:rStyle w:val="None"/>
          <w:sz w:val="16"/>
          <w:szCs w:val="16"/>
          <w:lang w:val="fr-FR"/>
        </w:rPr>
        <w:t>, paragraphe</w:t>
      </w:r>
      <w:r w:rsidRPr="007D0DE4">
        <w:rPr>
          <w:rStyle w:val="None"/>
          <w:sz w:val="16"/>
          <w:szCs w:val="16"/>
          <w:lang w:val="fr-FR"/>
        </w:rPr>
        <w:t xml:space="preserve"> 70</w:t>
      </w:r>
      <w:r w:rsidR="0099338D">
        <w:rPr>
          <w:rStyle w:val="None"/>
          <w:sz w:val="16"/>
          <w:szCs w:val="16"/>
          <w:lang w:val="fr-FR"/>
        </w:rPr>
        <w:t>.</w:t>
      </w:r>
    </w:p>
  </w:footnote>
  <w:footnote w:id="18">
    <w:p w:rsidR="00E74327" w:rsidRPr="007D0DE4" w:rsidRDefault="004C4A1E">
      <w:pPr>
        <w:pStyle w:val="BodyA"/>
        <w:rPr>
          <w:rFonts w:hint="eastAsia"/>
          <w:lang w:val="fr-FR"/>
        </w:rPr>
      </w:pPr>
      <w:r w:rsidRPr="007D0DE4">
        <w:rPr>
          <w:rStyle w:val="None"/>
          <w:vertAlign w:val="superscript"/>
          <w:lang w:val="fr-FR"/>
        </w:rPr>
        <w:footnoteRef/>
      </w:r>
      <w:r w:rsidRPr="007D0DE4">
        <w:rPr>
          <w:rStyle w:val="None"/>
          <w:sz w:val="16"/>
          <w:szCs w:val="16"/>
          <w:lang w:val="fr-FR"/>
        </w:rPr>
        <w:t xml:space="preserve"> </w:t>
      </w:r>
      <w:r w:rsidR="0099338D">
        <w:rPr>
          <w:rStyle w:val="None"/>
          <w:sz w:val="16"/>
          <w:szCs w:val="16"/>
          <w:lang w:val="fr-FR"/>
        </w:rPr>
        <w:t>Avis sur le vagabondage, Cour africaine</w:t>
      </w:r>
      <w:r w:rsidR="0099338D" w:rsidRPr="007D0DE4">
        <w:rPr>
          <w:rStyle w:val="None"/>
          <w:sz w:val="16"/>
          <w:szCs w:val="16"/>
          <w:lang w:val="fr-FR"/>
        </w:rPr>
        <w:t xml:space="preserve"> H.P.R.</w:t>
      </w:r>
      <w:r w:rsidR="0099338D">
        <w:rPr>
          <w:rStyle w:val="None"/>
          <w:sz w:val="16"/>
          <w:szCs w:val="16"/>
          <w:lang w:val="fr-FR"/>
        </w:rPr>
        <w:t xml:space="preserve">, paragraphe </w:t>
      </w:r>
      <w:r w:rsidRPr="007D0DE4">
        <w:rPr>
          <w:rStyle w:val="None"/>
          <w:sz w:val="16"/>
          <w:szCs w:val="16"/>
          <w:lang w:val="fr-FR"/>
        </w:rPr>
        <w:t>79</w:t>
      </w:r>
      <w:r w:rsidR="0099338D">
        <w:rPr>
          <w:rStyle w:val="None"/>
          <w:sz w:val="16"/>
          <w:szCs w:val="16"/>
          <w:lang w:val="fr-FR"/>
        </w:rPr>
        <w:t>.</w:t>
      </w:r>
    </w:p>
  </w:footnote>
  <w:footnote w:id="19">
    <w:p w:rsidR="00E74327" w:rsidRPr="007D0DE4" w:rsidRDefault="004C4A1E">
      <w:pPr>
        <w:pStyle w:val="BodyA"/>
        <w:rPr>
          <w:rFonts w:hint="eastAsia"/>
          <w:lang w:val="fr-FR"/>
        </w:rPr>
      </w:pPr>
      <w:r w:rsidRPr="007D0DE4">
        <w:rPr>
          <w:rStyle w:val="None"/>
          <w:vertAlign w:val="superscript"/>
          <w:lang w:val="fr-FR"/>
        </w:rPr>
        <w:footnoteRef/>
      </w:r>
      <w:r w:rsidRPr="007D0DE4">
        <w:rPr>
          <w:rStyle w:val="None"/>
          <w:sz w:val="16"/>
          <w:szCs w:val="16"/>
          <w:lang w:val="fr-FR"/>
        </w:rPr>
        <w:t xml:space="preserve"> </w:t>
      </w:r>
      <w:r w:rsidR="0099338D">
        <w:rPr>
          <w:rStyle w:val="None"/>
          <w:sz w:val="16"/>
          <w:szCs w:val="16"/>
          <w:lang w:val="fr-FR"/>
        </w:rPr>
        <w:t>Avis sur le vagabondage, Cour africaine</w:t>
      </w:r>
      <w:r w:rsidR="0099338D" w:rsidRPr="007D0DE4">
        <w:rPr>
          <w:rStyle w:val="None"/>
          <w:sz w:val="16"/>
          <w:szCs w:val="16"/>
          <w:lang w:val="fr-FR"/>
        </w:rPr>
        <w:t xml:space="preserve"> H.P.R.</w:t>
      </w:r>
      <w:r w:rsidR="0099338D">
        <w:rPr>
          <w:rStyle w:val="None"/>
          <w:sz w:val="16"/>
          <w:szCs w:val="16"/>
          <w:lang w:val="fr-FR"/>
        </w:rPr>
        <w:t xml:space="preserve">, </w:t>
      </w:r>
      <w:r w:rsidR="00687D6A">
        <w:rPr>
          <w:rStyle w:val="None"/>
          <w:sz w:val="16"/>
          <w:szCs w:val="16"/>
          <w:lang w:val="fr-FR"/>
        </w:rPr>
        <w:t xml:space="preserve">paragraphe </w:t>
      </w:r>
      <w:r w:rsidRPr="007D0DE4">
        <w:rPr>
          <w:rStyle w:val="None"/>
          <w:sz w:val="16"/>
          <w:szCs w:val="16"/>
          <w:lang w:val="fr-FR"/>
        </w:rPr>
        <w:t>137</w:t>
      </w:r>
      <w:r w:rsidR="00687D6A">
        <w:rPr>
          <w:rStyle w:val="None"/>
          <w:sz w:val="16"/>
          <w:szCs w:val="16"/>
          <w:lang w:val="fr-FR"/>
        </w:rPr>
        <w:t>.</w:t>
      </w:r>
    </w:p>
  </w:footnote>
  <w:footnote w:id="20">
    <w:p w:rsidR="00E74327" w:rsidRPr="007D0DE4" w:rsidRDefault="004C4A1E">
      <w:pPr>
        <w:pStyle w:val="Notedebasdepage"/>
        <w:rPr>
          <w:lang w:val="fr-FR"/>
        </w:rPr>
      </w:pPr>
      <w:r w:rsidRPr="007D0DE4">
        <w:rPr>
          <w:rStyle w:val="None"/>
          <w:vertAlign w:val="superscript"/>
          <w:lang w:val="fr-FR"/>
        </w:rPr>
        <w:footnoteRef/>
      </w:r>
      <w:r w:rsidRPr="007D0DE4">
        <w:rPr>
          <w:rFonts w:eastAsia="Arial Unicode MS" w:cs="Arial Unicode MS"/>
          <w:lang w:val="fr-FR"/>
        </w:rPr>
        <w:t xml:space="preserve"> </w:t>
      </w:r>
      <w:r w:rsidR="00687D6A">
        <w:rPr>
          <w:rFonts w:asciiTheme="minorHAnsi" w:eastAsia="Arial Unicode MS" w:hAnsiTheme="minorHAnsi" w:cs="Arial Unicode MS"/>
          <w:sz w:val="16"/>
          <w:szCs w:val="16"/>
          <w:lang w:val="fr-FR"/>
        </w:rPr>
        <w:t>Observation gé</w:t>
      </w:r>
      <w:r w:rsidRPr="00687D6A">
        <w:rPr>
          <w:rFonts w:asciiTheme="minorHAnsi" w:eastAsia="Arial Unicode MS" w:hAnsiTheme="minorHAnsi" w:cs="Arial Unicode MS"/>
          <w:sz w:val="16"/>
          <w:szCs w:val="16"/>
          <w:lang w:val="fr-FR"/>
        </w:rPr>
        <w:t>n</w:t>
      </w:r>
      <w:r w:rsidR="00687D6A">
        <w:rPr>
          <w:rFonts w:asciiTheme="minorHAnsi" w:eastAsia="Arial Unicode MS" w:hAnsiTheme="minorHAnsi" w:cs="Arial Unicode MS"/>
          <w:sz w:val="16"/>
          <w:szCs w:val="16"/>
          <w:lang w:val="fr-FR"/>
        </w:rPr>
        <w:t>é</w:t>
      </w:r>
      <w:r w:rsidRPr="00687D6A">
        <w:rPr>
          <w:rFonts w:asciiTheme="minorHAnsi" w:eastAsia="Arial Unicode MS" w:hAnsiTheme="minorHAnsi" w:cs="Arial Unicode MS"/>
          <w:sz w:val="16"/>
          <w:szCs w:val="16"/>
          <w:lang w:val="fr-FR"/>
        </w:rPr>
        <w:t>ral</w:t>
      </w:r>
      <w:r w:rsidR="00687D6A">
        <w:rPr>
          <w:rFonts w:asciiTheme="minorHAnsi" w:eastAsia="Arial Unicode MS" w:hAnsiTheme="minorHAnsi" w:cs="Arial Unicode MS"/>
          <w:sz w:val="16"/>
          <w:szCs w:val="16"/>
          <w:lang w:val="fr-FR"/>
        </w:rPr>
        <w:t>e n°</w:t>
      </w:r>
      <w:r w:rsidRPr="00687D6A">
        <w:rPr>
          <w:rFonts w:asciiTheme="minorHAnsi" w:eastAsia="Arial Unicode MS" w:hAnsiTheme="minorHAnsi" w:cs="Arial Unicode MS"/>
          <w:sz w:val="16"/>
          <w:szCs w:val="16"/>
          <w:lang w:val="fr-FR"/>
        </w:rPr>
        <w:t xml:space="preserve"> 23 (2016)</w:t>
      </w:r>
      <w:r w:rsidR="00687D6A">
        <w:rPr>
          <w:rFonts w:asciiTheme="minorHAnsi" w:eastAsia="Arial Unicode MS" w:hAnsiTheme="minorHAnsi" w:cs="Arial Unicode MS"/>
          <w:sz w:val="16"/>
          <w:szCs w:val="16"/>
          <w:lang w:val="fr-FR"/>
        </w:rPr>
        <w:t xml:space="preserve">, </w:t>
      </w:r>
      <w:r w:rsidRPr="00687D6A">
        <w:rPr>
          <w:rFonts w:asciiTheme="minorHAnsi" w:eastAsia="Arial Unicode MS" w:hAnsiTheme="minorHAnsi" w:cs="Arial Unicode MS"/>
          <w:sz w:val="16"/>
          <w:szCs w:val="16"/>
          <w:lang w:val="fr-FR"/>
        </w:rPr>
        <w:t>para</w:t>
      </w:r>
      <w:r w:rsidR="00687D6A">
        <w:rPr>
          <w:rFonts w:asciiTheme="minorHAnsi" w:eastAsia="Arial Unicode MS" w:hAnsiTheme="minorHAnsi" w:cs="Arial Unicode MS"/>
          <w:sz w:val="16"/>
          <w:szCs w:val="16"/>
          <w:lang w:val="fr-FR"/>
        </w:rPr>
        <w:t>graphe</w:t>
      </w:r>
      <w:r w:rsidRPr="00687D6A">
        <w:rPr>
          <w:rFonts w:asciiTheme="minorHAnsi" w:eastAsia="Arial Unicode MS" w:hAnsiTheme="minorHAnsi" w:cs="Arial Unicode MS"/>
          <w:sz w:val="16"/>
          <w:szCs w:val="16"/>
          <w:lang w:val="fr-FR"/>
        </w:rPr>
        <w:t xml:space="preserve"> 47.</w:t>
      </w:r>
    </w:p>
  </w:footnote>
  <w:footnote w:id="21">
    <w:p w:rsidR="00E74327" w:rsidRPr="007D0DE4" w:rsidRDefault="004C4A1E">
      <w:pPr>
        <w:pStyle w:val="BodyA"/>
        <w:rPr>
          <w:rFonts w:hint="eastAsia"/>
          <w:lang w:val="fr-FR"/>
        </w:rPr>
      </w:pPr>
      <w:r w:rsidRPr="007D0DE4">
        <w:rPr>
          <w:rStyle w:val="None"/>
          <w:vertAlign w:val="superscript"/>
          <w:lang w:val="fr-FR"/>
        </w:rPr>
        <w:footnoteRef/>
      </w:r>
      <w:r w:rsidRPr="007D0DE4">
        <w:rPr>
          <w:rStyle w:val="None"/>
          <w:sz w:val="16"/>
          <w:szCs w:val="16"/>
          <w:lang w:val="fr-FR"/>
        </w:rPr>
        <w:t xml:space="preserve"> </w:t>
      </w:r>
      <w:r w:rsidR="00687D6A">
        <w:rPr>
          <w:rStyle w:val="None"/>
          <w:sz w:val="16"/>
          <w:szCs w:val="16"/>
          <w:lang w:val="fr-FR"/>
        </w:rPr>
        <w:t>Dé</w:t>
      </w:r>
      <w:r w:rsidRPr="007D0DE4">
        <w:rPr>
          <w:rStyle w:val="None"/>
          <w:sz w:val="16"/>
          <w:szCs w:val="16"/>
          <w:lang w:val="fr-FR"/>
        </w:rPr>
        <w:t xml:space="preserve">claration </w:t>
      </w:r>
      <w:r w:rsidR="00687D6A">
        <w:rPr>
          <w:rStyle w:val="None"/>
          <w:sz w:val="16"/>
          <w:szCs w:val="16"/>
          <w:lang w:val="fr-FR"/>
        </w:rPr>
        <w:t>de Pretoria sur les droits é</w:t>
      </w:r>
      <w:r w:rsidRPr="007D0DE4">
        <w:rPr>
          <w:rStyle w:val="None"/>
          <w:sz w:val="16"/>
          <w:szCs w:val="16"/>
          <w:lang w:val="fr-FR"/>
        </w:rPr>
        <w:t>conomi</w:t>
      </w:r>
      <w:r w:rsidR="00687D6A">
        <w:rPr>
          <w:rStyle w:val="None"/>
          <w:sz w:val="16"/>
          <w:szCs w:val="16"/>
          <w:lang w:val="fr-FR"/>
        </w:rPr>
        <w:t>ques</w:t>
      </w:r>
      <w:r w:rsidRPr="007D0DE4">
        <w:rPr>
          <w:rStyle w:val="None"/>
          <w:sz w:val="16"/>
          <w:szCs w:val="16"/>
          <w:lang w:val="fr-FR"/>
        </w:rPr>
        <w:t xml:space="preserve">, </w:t>
      </w:r>
      <w:r w:rsidR="00687D6A">
        <w:rPr>
          <w:rStyle w:val="None"/>
          <w:sz w:val="16"/>
          <w:szCs w:val="16"/>
          <w:lang w:val="fr-FR"/>
        </w:rPr>
        <w:t>s</w:t>
      </w:r>
      <w:r w:rsidRPr="007D0DE4">
        <w:rPr>
          <w:rStyle w:val="None"/>
          <w:sz w:val="16"/>
          <w:szCs w:val="16"/>
          <w:lang w:val="fr-FR"/>
        </w:rPr>
        <w:t>ocia</w:t>
      </w:r>
      <w:r w:rsidR="00687D6A">
        <w:rPr>
          <w:rStyle w:val="None"/>
          <w:sz w:val="16"/>
          <w:szCs w:val="16"/>
          <w:lang w:val="fr-FR"/>
        </w:rPr>
        <w:t>ux et c</w:t>
      </w:r>
      <w:r w:rsidRPr="007D0DE4">
        <w:rPr>
          <w:rStyle w:val="None"/>
          <w:sz w:val="16"/>
          <w:szCs w:val="16"/>
          <w:lang w:val="fr-FR"/>
        </w:rPr>
        <w:t>ultur</w:t>
      </w:r>
      <w:r w:rsidR="00687D6A">
        <w:rPr>
          <w:rStyle w:val="None"/>
          <w:sz w:val="16"/>
          <w:szCs w:val="16"/>
          <w:lang w:val="fr-FR"/>
        </w:rPr>
        <w:t>els e</w:t>
      </w:r>
      <w:r w:rsidRPr="007D0DE4">
        <w:rPr>
          <w:rStyle w:val="None"/>
          <w:sz w:val="16"/>
          <w:szCs w:val="16"/>
          <w:lang w:val="fr-FR"/>
        </w:rPr>
        <w:t>n Afri</w:t>
      </w:r>
      <w:r w:rsidR="00687D6A">
        <w:rPr>
          <w:rStyle w:val="None"/>
          <w:sz w:val="16"/>
          <w:szCs w:val="16"/>
          <w:lang w:val="fr-FR"/>
        </w:rPr>
        <w:t>que</w:t>
      </w:r>
      <w:r w:rsidRPr="007D0DE4">
        <w:rPr>
          <w:rStyle w:val="None"/>
          <w:sz w:val="16"/>
          <w:szCs w:val="16"/>
          <w:lang w:val="fr-FR"/>
        </w:rPr>
        <w:t xml:space="preserve">, </w:t>
      </w:r>
      <w:r w:rsidR="00687D6A">
        <w:rPr>
          <w:rStyle w:val="None"/>
          <w:sz w:val="16"/>
          <w:szCs w:val="16"/>
          <w:lang w:val="fr-FR"/>
        </w:rPr>
        <w:t>7 décembre</w:t>
      </w:r>
      <w:r w:rsidRPr="007D0DE4">
        <w:rPr>
          <w:rStyle w:val="None"/>
          <w:sz w:val="16"/>
          <w:szCs w:val="16"/>
          <w:lang w:val="fr-FR"/>
        </w:rPr>
        <w:t xml:space="preserve"> 2004, </w:t>
      </w:r>
      <w:r w:rsidR="00687D6A">
        <w:rPr>
          <w:rStyle w:val="None"/>
          <w:sz w:val="16"/>
          <w:szCs w:val="16"/>
          <w:lang w:val="fr-FR"/>
        </w:rPr>
        <w:t>CADHP</w:t>
      </w:r>
      <w:r w:rsidRPr="007D0DE4">
        <w:rPr>
          <w:rStyle w:val="None"/>
          <w:sz w:val="16"/>
          <w:szCs w:val="16"/>
          <w:lang w:val="fr-FR"/>
        </w:rPr>
        <w:t>/R</w:t>
      </w:r>
      <w:r w:rsidR="00687D6A">
        <w:rPr>
          <w:rStyle w:val="None"/>
          <w:sz w:val="16"/>
          <w:szCs w:val="16"/>
          <w:lang w:val="fr-FR"/>
        </w:rPr>
        <w:t>é</w:t>
      </w:r>
      <w:r w:rsidRPr="007D0DE4">
        <w:rPr>
          <w:rStyle w:val="None"/>
          <w:sz w:val="16"/>
          <w:szCs w:val="16"/>
          <w:lang w:val="fr-FR"/>
        </w:rPr>
        <w:t>s.73(XXXVI) 04.</w:t>
      </w:r>
    </w:p>
  </w:footnote>
  <w:footnote w:id="22">
    <w:p w:rsidR="00E74327" w:rsidRPr="007D0DE4" w:rsidRDefault="004C4A1E">
      <w:pPr>
        <w:pStyle w:val="BodyA"/>
        <w:rPr>
          <w:rFonts w:hint="eastAsia"/>
          <w:lang w:val="fr-FR"/>
        </w:rPr>
      </w:pPr>
      <w:r w:rsidRPr="007D0DE4">
        <w:rPr>
          <w:rStyle w:val="None"/>
          <w:vertAlign w:val="superscript"/>
          <w:lang w:val="fr-FR"/>
        </w:rPr>
        <w:footnoteRef/>
      </w:r>
      <w:r w:rsidRPr="007D0DE4">
        <w:rPr>
          <w:rStyle w:val="None"/>
          <w:sz w:val="16"/>
          <w:szCs w:val="16"/>
          <w:lang w:val="fr-FR"/>
        </w:rPr>
        <w:t xml:space="preserve"> </w:t>
      </w:r>
      <w:r w:rsidR="00687D6A">
        <w:rPr>
          <w:rStyle w:val="None"/>
          <w:sz w:val="16"/>
          <w:szCs w:val="16"/>
          <w:lang w:val="fr-FR"/>
        </w:rPr>
        <w:t>Dé</w:t>
      </w:r>
      <w:r w:rsidR="00687D6A" w:rsidRPr="007D0DE4">
        <w:rPr>
          <w:rStyle w:val="None"/>
          <w:sz w:val="16"/>
          <w:szCs w:val="16"/>
          <w:lang w:val="fr-FR"/>
        </w:rPr>
        <w:t xml:space="preserve">claration </w:t>
      </w:r>
      <w:r w:rsidR="00687D6A">
        <w:rPr>
          <w:rStyle w:val="None"/>
          <w:sz w:val="16"/>
          <w:szCs w:val="16"/>
          <w:lang w:val="fr-FR"/>
        </w:rPr>
        <w:t>de Pretoria sur les droits é</w:t>
      </w:r>
      <w:r w:rsidR="00687D6A" w:rsidRPr="007D0DE4">
        <w:rPr>
          <w:rStyle w:val="None"/>
          <w:sz w:val="16"/>
          <w:szCs w:val="16"/>
          <w:lang w:val="fr-FR"/>
        </w:rPr>
        <w:t>conomi</w:t>
      </w:r>
      <w:r w:rsidR="00687D6A">
        <w:rPr>
          <w:rStyle w:val="None"/>
          <w:sz w:val="16"/>
          <w:szCs w:val="16"/>
          <w:lang w:val="fr-FR"/>
        </w:rPr>
        <w:t>ques</w:t>
      </w:r>
      <w:r w:rsidR="00687D6A" w:rsidRPr="007D0DE4">
        <w:rPr>
          <w:rStyle w:val="None"/>
          <w:sz w:val="16"/>
          <w:szCs w:val="16"/>
          <w:lang w:val="fr-FR"/>
        </w:rPr>
        <w:t xml:space="preserve">, </w:t>
      </w:r>
      <w:r w:rsidR="00687D6A">
        <w:rPr>
          <w:rStyle w:val="None"/>
          <w:sz w:val="16"/>
          <w:szCs w:val="16"/>
          <w:lang w:val="fr-FR"/>
        </w:rPr>
        <w:t>s</w:t>
      </w:r>
      <w:r w:rsidR="00687D6A" w:rsidRPr="007D0DE4">
        <w:rPr>
          <w:rStyle w:val="None"/>
          <w:sz w:val="16"/>
          <w:szCs w:val="16"/>
          <w:lang w:val="fr-FR"/>
        </w:rPr>
        <w:t>ocia</w:t>
      </w:r>
      <w:r w:rsidR="00687D6A">
        <w:rPr>
          <w:rStyle w:val="None"/>
          <w:sz w:val="16"/>
          <w:szCs w:val="16"/>
          <w:lang w:val="fr-FR"/>
        </w:rPr>
        <w:t>ux et c</w:t>
      </w:r>
      <w:r w:rsidR="00687D6A" w:rsidRPr="007D0DE4">
        <w:rPr>
          <w:rStyle w:val="None"/>
          <w:sz w:val="16"/>
          <w:szCs w:val="16"/>
          <w:lang w:val="fr-FR"/>
        </w:rPr>
        <w:t>ultur</w:t>
      </w:r>
      <w:r w:rsidR="00687D6A">
        <w:rPr>
          <w:rStyle w:val="None"/>
          <w:sz w:val="16"/>
          <w:szCs w:val="16"/>
          <w:lang w:val="fr-FR"/>
        </w:rPr>
        <w:t>els e</w:t>
      </w:r>
      <w:r w:rsidR="00687D6A" w:rsidRPr="007D0DE4">
        <w:rPr>
          <w:rStyle w:val="None"/>
          <w:sz w:val="16"/>
          <w:szCs w:val="16"/>
          <w:lang w:val="fr-FR"/>
        </w:rPr>
        <w:t>n Afri</w:t>
      </w:r>
      <w:r w:rsidR="00687D6A">
        <w:rPr>
          <w:rStyle w:val="None"/>
          <w:sz w:val="16"/>
          <w:szCs w:val="16"/>
          <w:lang w:val="fr-FR"/>
        </w:rPr>
        <w:t>que</w:t>
      </w:r>
      <w:r w:rsidR="00687D6A" w:rsidRPr="007D0DE4">
        <w:rPr>
          <w:rStyle w:val="None"/>
          <w:sz w:val="16"/>
          <w:szCs w:val="16"/>
          <w:lang w:val="fr-FR"/>
        </w:rPr>
        <w:t xml:space="preserve">, </w:t>
      </w:r>
      <w:r w:rsidR="00687D6A">
        <w:rPr>
          <w:rStyle w:val="None"/>
          <w:sz w:val="16"/>
          <w:szCs w:val="16"/>
          <w:lang w:val="fr-FR"/>
        </w:rPr>
        <w:t>7 décembre</w:t>
      </w:r>
      <w:r w:rsidR="00687D6A" w:rsidRPr="007D0DE4">
        <w:rPr>
          <w:rStyle w:val="None"/>
          <w:sz w:val="16"/>
          <w:szCs w:val="16"/>
          <w:lang w:val="fr-FR"/>
        </w:rPr>
        <w:t xml:space="preserve"> 2004</w:t>
      </w:r>
      <w:r w:rsidRPr="007D0DE4">
        <w:rPr>
          <w:rStyle w:val="None"/>
          <w:sz w:val="16"/>
          <w:szCs w:val="16"/>
          <w:lang w:val="fr-FR"/>
        </w:rPr>
        <w:t>,</w:t>
      </w:r>
      <w:r w:rsidR="00687D6A">
        <w:rPr>
          <w:rStyle w:val="None"/>
          <w:sz w:val="16"/>
          <w:szCs w:val="16"/>
          <w:lang w:val="fr-FR"/>
        </w:rPr>
        <w:t xml:space="preserve"> CADHP</w:t>
      </w:r>
      <w:r w:rsidRPr="007D0DE4">
        <w:rPr>
          <w:rStyle w:val="None"/>
          <w:sz w:val="16"/>
          <w:szCs w:val="16"/>
          <w:lang w:val="fr-FR"/>
        </w:rPr>
        <w:t>/R</w:t>
      </w:r>
      <w:r w:rsidR="00687D6A">
        <w:rPr>
          <w:rStyle w:val="None"/>
          <w:sz w:val="16"/>
          <w:szCs w:val="16"/>
          <w:lang w:val="fr-FR"/>
        </w:rPr>
        <w:t>é</w:t>
      </w:r>
      <w:r w:rsidRPr="007D0DE4">
        <w:rPr>
          <w:rStyle w:val="None"/>
          <w:sz w:val="16"/>
          <w:szCs w:val="16"/>
          <w:lang w:val="fr-FR"/>
        </w:rPr>
        <w:t>s.73(XXXVI) 04.</w:t>
      </w:r>
    </w:p>
  </w:footnote>
  <w:footnote w:id="23">
    <w:p w:rsidR="000B0B88" w:rsidRPr="007D0DE4" w:rsidRDefault="000B0B88" w:rsidP="000B0B88">
      <w:pPr>
        <w:pStyle w:val="BodyA"/>
        <w:rPr>
          <w:rFonts w:hint="eastAsia"/>
          <w:lang w:val="fr-FR"/>
        </w:rPr>
      </w:pPr>
      <w:r w:rsidRPr="007D0DE4">
        <w:rPr>
          <w:rStyle w:val="None"/>
          <w:vertAlign w:val="superscript"/>
          <w:lang w:val="fr-FR"/>
        </w:rPr>
        <w:footnoteRef/>
      </w:r>
      <w:r w:rsidRPr="007D0DE4">
        <w:rPr>
          <w:rStyle w:val="None"/>
          <w:sz w:val="16"/>
          <w:szCs w:val="16"/>
          <w:lang w:val="fr-FR"/>
        </w:rPr>
        <w:t xml:space="preserve"> </w:t>
      </w:r>
      <w:r w:rsidR="00687D6A">
        <w:rPr>
          <w:rStyle w:val="None"/>
          <w:sz w:val="16"/>
          <w:szCs w:val="16"/>
          <w:lang w:val="fr-FR"/>
        </w:rPr>
        <w:t>E</w:t>
      </w:r>
      <w:r w:rsidR="00687D6A" w:rsidRPr="00687D6A">
        <w:rPr>
          <w:rStyle w:val="None"/>
          <w:sz w:val="16"/>
          <w:szCs w:val="16"/>
          <w:lang w:val="fr-FR"/>
        </w:rPr>
        <w:t xml:space="preserve">n vertu des </w:t>
      </w:r>
      <w:r w:rsidR="00687D6A">
        <w:rPr>
          <w:rStyle w:val="None"/>
          <w:sz w:val="16"/>
          <w:szCs w:val="16"/>
          <w:lang w:val="fr-FR"/>
        </w:rPr>
        <w:t>A</w:t>
      </w:r>
      <w:r w:rsidR="00687D6A" w:rsidRPr="00687D6A">
        <w:rPr>
          <w:rStyle w:val="None"/>
          <w:sz w:val="16"/>
          <w:szCs w:val="16"/>
          <w:lang w:val="fr-FR"/>
        </w:rPr>
        <w:t>rticles 22 et 25 de la Déclaration universelle des droits de l'homme, de l'</w:t>
      </w:r>
      <w:r w:rsidR="00687D6A">
        <w:rPr>
          <w:rStyle w:val="None"/>
          <w:sz w:val="16"/>
          <w:szCs w:val="16"/>
          <w:lang w:val="fr-FR"/>
        </w:rPr>
        <w:t>A</w:t>
      </w:r>
      <w:r w:rsidR="00687D6A" w:rsidRPr="00687D6A">
        <w:rPr>
          <w:rStyle w:val="None"/>
          <w:sz w:val="16"/>
          <w:szCs w:val="16"/>
          <w:lang w:val="fr-FR"/>
        </w:rPr>
        <w:t xml:space="preserve">rticle 9 du Pacte international relatif aux droits économiques, sociaux et culturels et de la Convention </w:t>
      </w:r>
      <w:r w:rsidR="00687D6A">
        <w:rPr>
          <w:rStyle w:val="None"/>
          <w:sz w:val="16"/>
          <w:szCs w:val="16"/>
          <w:lang w:val="fr-FR"/>
        </w:rPr>
        <w:t xml:space="preserve">n° </w:t>
      </w:r>
      <w:r w:rsidR="00687D6A" w:rsidRPr="00687D6A">
        <w:rPr>
          <w:rStyle w:val="None"/>
          <w:sz w:val="16"/>
          <w:szCs w:val="16"/>
          <w:lang w:val="fr-FR"/>
        </w:rPr>
        <w:t>102 de l'OIT sur la sécurité sociale</w:t>
      </w:r>
      <w:r w:rsidRPr="007D0DE4">
        <w:rPr>
          <w:rStyle w:val="None"/>
          <w:rFonts w:ascii="Arial Narrow" w:hAnsi="Arial Narrow"/>
          <w:sz w:val="18"/>
          <w:szCs w:val="18"/>
          <w:lang w:val="fr-FR"/>
        </w:rPr>
        <w:t>.</w:t>
      </w:r>
    </w:p>
  </w:footnote>
  <w:footnote w:id="24">
    <w:p w:rsidR="00687D6A" w:rsidRDefault="00687D6A" w:rsidP="00687D6A">
      <w:pPr>
        <w:pStyle w:val="Notedebasdepage"/>
      </w:pPr>
      <w:r>
        <w:rPr>
          <w:rStyle w:val="None"/>
          <w:vertAlign w:val="superscript"/>
        </w:rPr>
        <w:footnoteRef/>
      </w:r>
      <w:r>
        <w:rPr>
          <w:rStyle w:val="None"/>
          <w:rFonts w:ascii="Helvetica Neue" w:hAnsi="Helvetica Neue"/>
          <w:sz w:val="16"/>
          <w:szCs w:val="16"/>
        </w:rPr>
        <w:t xml:space="preserve"> OIT, Protection sociale des travailleurs domestiques</w:t>
      </w:r>
      <w:r w:rsidR="00476FF7">
        <w:rPr>
          <w:rStyle w:val="None"/>
          <w:rFonts w:ascii="Helvetica Neue" w:hAnsi="Helvetica Neue"/>
          <w:sz w:val="16"/>
          <w:szCs w:val="16"/>
        </w:rPr>
        <w:t xml:space="preserve"> </w:t>
      </w:r>
      <w:r>
        <w:rPr>
          <w:rStyle w:val="None"/>
          <w:rFonts w:ascii="Helvetica Neue" w:hAnsi="Helvetica Neue"/>
          <w:sz w:val="16"/>
          <w:szCs w:val="16"/>
        </w:rPr>
        <w:t>: p</w:t>
      </w:r>
      <w:r w:rsidR="00476FF7">
        <w:rPr>
          <w:rStyle w:val="None"/>
          <w:rFonts w:ascii="Helvetica Neue" w:hAnsi="Helvetica Neue"/>
          <w:sz w:val="16"/>
          <w:szCs w:val="16"/>
        </w:rPr>
        <w:t>r</w:t>
      </w:r>
      <w:r>
        <w:rPr>
          <w:rStyle w:val="None"/>
          <w:rFonts w:ascii="Helvetica Neue" w:hAnsi="Helvetica Neue"/>
          <w:sz w:val="16"/>
          <w:szCs w:val="16"/>
        </w:rPr>
        <w:t>incipales tendances politiques et statistiques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3E1E" w:rsidRDefault="00E63E1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3E1E" w:rsidRDefault="00E63E1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3E1E" w:rsidRDefault="00E63E1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292B"/>
    <w:multiLevelType w:val="hybridMultilevel"/>
    <w:tmpl w:val="E9DE7ED0"/>
    <w:lvl w:ilvl="0" w:tplc="6D7804C8">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3040282"/>
    <w:multiLevelType w:val="hybridMultilevel"/>
    <w:tmpl w:val="976CA4C6"/>
    <w:lvl w:ilvl="0" w:tplc="AF4CAD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BF5C96"/>
    <w:multiLevelType w:val="hybridMultilevel"/>
    <w:tmpl w:val="410CBDDE"/>
    <w:numStyleLink w:val="Lettered"/>
  </w:abstractNum>
  <w:abstractNum w:abstractNumId="3" w15:restartNumberingAfterBreak="0">
    <w:nsid w:val="27B62DFF"/>
    <w:multiLevelType w:val="hybridMultilevel"/>
    <w:tmpl w:val="828A8F92"/>
    <w:styleLink w:val="ImportedStyle1"/>
    <w:lvl w:ilvl="0" w:tplc="408E13F8">
      <w:start w:val="1"/>
      <w:numFmt w:val="decimal"/>
      <w:lvlText w:val="(%1)"/>
      <w:lvlJc w:val="left"/>
      <w:pPr>
        <w:ind w:left="420" w:hanging="36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CBE54AC">
      <w:start w:val="1"/>
      <w:numFmt w:val="lowerLetter"/>
      <w:lvlText w:val="%2."/>
      <w:lvlJc w:val="left"/>
      <w:pPr>
        <w:ind w:left="1140" w:hanging="36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EF049B4">
      <w:start w:val="1"/>
      <w:numFmt w:val="lowerRoman"/>
      <w:lvlText w:val="%3."/>
      <w:lvlJc w:val="left"/>
      <w:pPr>
        <w:ind w:left="1860" w:hanging="302"/>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90BB26">
      <w:start w:val="1"/>
      <w:numFmt w:val="decimal"/>
      <w:lvlText w:val="%4."/>
      <w:lvlJc w:val="left"/>
      <w:pPr>
        <w:ind w:left="2580" w:hanging="36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8BAB186">
      <w:start w:val="1"/>
      <w:numFmt w:val="lowerLetter"/>
      <w:lvlText w:val="%5."/>
      <w:lvlJc w:val="left"/>
      <w:pPr>
        <w:ind w:left="3300" w:hanging="36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CC0548E">
      <w:start w:val="1"/>
      <w:numFmt w:val="lowerRoman"/>
      <w:lvlText w:val="%6."/>
      <w:lvlJc w:val="left"/>
      <w:pPr>
        <w:ind w:left="4020" w:hanging="302"/>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16C534A">
      <w:start w:val="1"/>
      <w:numFmt w:val="decimal"/>
      <w:lvlText w:val="%7."/>
      <w:lvlJc w:val="left"/>
      <w:pPr>
        <w:ind w:left="4740" w:hanging="36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3B25EE4">
      <w:start w:val="1"/>
      <w:numFmt w:val="lowerLetter"/>
      <w:lvlText w:val="%8."/>
      <w:lvlJc w:val="left"/>
      <w:pPr>
        <w:ind w:left="5460" w:hanging="36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922BD22">
      <w:start w:val="1"/>
      <w:numFmt w:val="lowerRoman"/>
      <w:lvlText w:val="%9."/>
      <w:lvlJc w:val="left"/>
      <w:pPr>
        <w:ind w:left="6180" w:hanging="302"/>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28C41A56"/>
    <w:multiLevelType w:val="hybridMultilevel"/>
    <w:tmpl w:val="34CCF56A"/>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CFD19B9"/>
    <w:multiLevelType w:val="hybridMultilevel"/>
    <w:tmpl w:val="A8067078"/>
    <w:lvl w:ilvl="0" w:tplc="25FC7EA2">
      <w:start w:val="1"/>
      <w:numFmt w:val="lowerRoman"/>
      <w:lvlText w:val="%1."/>
      <w:lvlJc w:val="left"/>
      <w:pPr>
        <w:ind w:left="780" w:hanging="720"/>
      </w:pPr>
      <w:rPr>
        <w:rFonts w:hint="default"/>
        <w:b/>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6" w15:restartNumberingAfterBreak="0">
    <w:nsid w:val="3E323BA9"/>
    <w:multiLevelType w:val="hybridMultilevel"/>
    <w:tmpl w:val="828A8F92"/>
    <w:numStyleLink w:val="ImportedStyle1"/>
  </w:abstractNum>
  <w:abstractNum w:abstractNumId="7" w15:restartNumberingAfterBreak="0">
    <w:nsid w:val="46421155"/>
    <w:multiLevelType w:val="hybridMultilevel"/>
    <w:tmpl w:val="243EC4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D973D94"/>
    <w:multiLevelType w:val="hybridMultilevel"/>
    <w:tmpl w:val="410CBDDE"/>
    <w:styleLink w:val="Lettered"/>
    <w:lvl w:ilvl="0" w:tplc="6CD80BA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C8848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BC28F1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A0EE7B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9E18D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B6F29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20A2EC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48AAE8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674A738">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E85320A"/>
    <w:multiLevelType w:val="hybridMultilevel"/>
    <w:tmpl w:val="321CC098"/>
    <w:lvl w:ilvl="0" w:tplc="BEDCB020">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96119609">
    <w:abstractNumId w:val="3"/>
  </w:num>
  <w:num w:numId="2" w16cid:durableId="308174854">
    <w:abstractNumId w:val="6"/>
  </w:num>
  <w:num w:numId="3" w16cid:durableId="780875511">
    <w:abstractNumId w:val="8"/>
  </w:num>
  <w:num w:numId="4" w16cid:durableId="214777385">
    <w:abstractNumId w:val="2"/>
  </w:num>
  <w:num w:numId="5" w16cid:durableId="2019114116">
    <w:abstractNumId w:val="0"/>
  </w:num>
  <w:num w:numId="6" w16cid:durableId="696154473">
    <w:abstractNumId w:val="5"/>
  </w:num>
  <w:num w:numId="7" w16cid:durableId="1059406312">
    <w:abstractNumId w:val="4"/>
  </w:num>
  <w:num w:numId="8" w16cid:durableId="1461992125">
    <w:abstractNumId w:val="9"/>
  </w:num>
  <w:num w:numId="9" w16cid:durableId="1977758300">
    <w:abstractNumId w:val="1"/>
  </w:num>
  <w:num w:numId="10" w16cid:durableId="14991514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autoHyphenation/>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327"/>
    <w:rsid w:val="0002753F"/>
    <w:rsid w:val="00067A25"/>
    <w:rsid w:val="000804B2"/>
    <w:rsid w:val="000B0B88"/>
    <w:rsid w:val="000D37B2"/>
    <w:rsid w:val="001026C3"/>
    <w:rsid w:val="00125C6A"/>
    <w:rsid w:val="002234B6"/>
    <w:rsid w:val="0023532E"/>
    <w:rsid w:val="002626F1"/>
    <w:rsid w:val="002629FB"/>
    <w:rsid w:val="00285329"/>
    <w:rsid w:val="00286D54"/>
    <w:rsid w:val="00290B3B"/>
    <w:rsid w:val="00291E22"/>
    <w:rsid w:val="002E2E25"/>
    <w:rsid w:val="00376980"/>
    <w:rsid w:val="00377F4C"/>
    <w:rsid w:val="003A6FD2"/>
    <w:rsid w:val="003B1569"/>
    <w:rsid w:val="003F567B"/>
    <w:rsid w:val="00450112"/>
    <w:rsid w:val="00470DC2"/>
    <w:rsid w:val="00476FF7"/>
    <w:rsid w:val="004C4A1E"/>
    <w:rsid w:val="004C6574"/>
    <w:rsid w:val="004C7698"/>
    <w:rsid w:val="004D6001"/>
    <w:rsid w:val="004F7ABB"/>
    <w:rsid w:val="00514267"/>
    <w:rsid w:val="00643FBA"/>
    <w:rsid w:val="006832BD"/>
    <w:rsid w:val="00687D6A"/>
    <w:rsid w:val="006B48BA"/>
    <w:rsid w:val="006E2A45"/>
    <w:rsid w:val="00760AFA"/>
    <w:rsid w:val="007B67D6"/>
    <w:rsid w:val="007D0DE4"/>
    <w:rsid w:val="00815CF8"/>
    <w:rsid w:val="00832090"/>
    <w:rsid w:val="0083428E"/>
    <w:rsid w:val="008D31F7"/>
    <w:rsid w:val="008E1D83"/>
    <w:rsid w:val="00911FE6"/>
    <w:rsid w:val="00943B91"/>
    <w:rsid w:val="00951EFA"/>
    <w:rsid w:val="0099338D"/>
    <w:rsid w:val="009B0FFD"/>
    <w:rsid w:val="009D1C2A"/>
    <w:rsid w:val="009E7E02"/>
    <w:rsid w:val="00A503EC"/>
    <w:rsid w:val="00A644A9"/>
    <w:rsid w:val="00AB1CFB"/>
    <w:rsid w:val="00AF68B8"/>
    <w:rsid w:val="00B12EB5"/>
    <w:rsid w:val="00B153C7"/>
    <w:rsid w:val="00B5691C"/>
    <w:rsid w:val="00B60F55"/>
    <w:rsid w:val="00BA3357"/>
    <w:rsid w:val="00BA4CD2"/>
    <w:rsid w:val="00C11296"/>
    <w:rsid w:val="00C40A4D"/>
    <w:rsid w:val="00C51A95"/>
    <w:rsid w:val="00C9467E"/>
    <w:rsid w:val="00C948C7"/>
    <w:rsid w:val="00CB0D38"/>
    <w:rsid w:val="00D26A9C"/>
    <w:rsid w:val="00D27B36"/>
    <w:rsid w:val="00D5681B"/>
    <w:rsid w:val="00DC059F"/>
    <w:rsid w:val="00DC2C67"/>
    <w:rsid w:val="00DC7A11"/>
    <w:rsid w:val="00DF75D9"/>
    <w:rsid w:val="00E01DA1"/>
    <w:rsid w:val="00E16E5D"/>
    <w:rsid w:val="00E443D1"/>
    <w:rsid w:val="00E44F1D"/>
    <w:rsid w:val="00E60DF8"/>
    <w:rsid w:val="00E63E1E"/>
    <w:rsid w:val="00E74327"/>
    <w:rsid w:val="00E96919"/>
    <w:rsid w:val="00E97965"/>
    <w:rsid w:val="00EA65BA"/>
    <w:rsid w:val="00EC0152"/>
    <w:rsid w:val="00EC13F2"/>
    <w:rsid w:val="00EC27F2"/>
    <w:rsid w:val="00EF7CCB"/>
    <w:rsid w:val="00F034E3"/>
    <w:rsid w:val="00F35A2F"/>
    <w:rsid w:val="00F476E1"/>
    <w:rsid w:val="00F859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E55AA"/>
  <w15:docId w15:val="{080B9615-8A74-4C9E-BADE-D16B0BE2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Neue" w:hAnsi="Helvetica Neue" w:cs="Arial Unicode MS"/>
      <w:color w:val="000000"/>
      <w:sz w:val="22"/>
      <w:szCs w:val="22"/>
      <w:u w:color="000000"/>
      <w:lang w:val="en-US"/>
    </w:rPr>
  </w:style>
  <w:style w:type="paragraph" w:styleId="Notedebasdepage">
    <w:name w:val="footnote text"/>
    <w:rPr>
      <w:rFonts w:eastAsia="Times New Roman"/>
      <w:color w:val="000000"/>
      <w:u w:color="000000"/>
      <w:lang w:val="en-US"/>
    </w:rPr>
  </w:style>
  <w:style w:type="numbering" w:customStyle="1" w:styleId="ImportedStyle1">
    <w:name w:val="Imported Style 1"/>
    <w:pPr>
      <w:numPr>
        <w:numId w:val="1"/>
      </w:numPr>
    </w:pPr>
  </w:style>
  <w:style w:type="paragraph" w:customStyle="1" w:styleId="Default">
    <w:name w:val="Default"/>
    <w:rPr>
      <w:rFonts w:ascii="Helvetica Neue" w:eastAsia="Helvetica Neue" w:hAnsi="Helvetica Neue" w:cs="Helvetica Neue"/>
      <w:color w:val="000000"/>
      <w:sz w:val="22"/>
      <w:szCs w:val="22"/>
      <w:u w:color="000000"/>
      <w:lang w:val="en-US"/>
    </w:rPr>
  </w:style>
  <w:style w:type="character" w:customStyle="1" w:styleId="None">
    <w:name w:val="None"/>
  </w:style>
  <w:style w:type="character" w:customStyle="1" w:styleId="Hyperlink0">
    <w:name w:val="Hyperlink.0"/>
    <w:basedOn w:val="None"/>
    <w:rPr>
      <w:rFonts w:ascii="Helvetica Neue" w:eastAsia="Helvetica Neue" w:hAnsi="Helvetica Neue" w:cs="Helvetica Neue"/>
      <w:color w:val="1155CC"/>
      <w:sz w:val="16"/>
      <w:szCs w:val="16"/>
      <w:u w:val="single" w:color="1155CC"/>
    </w:rPr>
  </w:style>
  <w:style w:type="numbering" w:customStyle="1" w:styleId="Lettered">
    <w:name w:val="Lettered"/>
    <w:pPr>
      <w:numPr>
        <w:numId w:val="3"/>
      </w:numPr>
    </w:pPr>
  </w:style>
  <w:style w:type="paragraph" w:styleId="Textedebulles">
    <w:name w:val="Balloon Text"/>
    <w:basedOn w:val="Normal"/>
    <w:link w:val="TextedebullesCar"/>
    <w:uiPriority w:val="99"/>
    <w:semiHidden/>
    <w:unhideWhenUsed/>
    <w:rsid w:val="00E60DF8"/>
    <w:rPr>
      <w:rFonts w:ascii="Segoe UI" w:hAnsi="Segoe UI" w:cs="Segoe UI"/>
      <w:sz w:val="18"/>
      <w:szCs w:val="18"/>
    </w:rPr>
  </w:style>
  <w:style w:type="character" w:customStyle="1" w:styleId="TextedebullesCar">
    <w:name w:val="Texte de bulles Car"/>
    <w:basedOn w:val="Policepardfaut"/>
    <w:link w:val="Textedebulles"/>
    <w:uiPriority w:val="99"/>
    <w:semiHidden/>
    <w:rsid w:val="00E60DF8"/>
    <w:rPr>
      <w:rFonts w:ascii="Segoe UI" w:hAnsi="Segoe UI" w:cs="Segoe UI"/>
      <w:sz w:val="18"/>
      <w:szCs w:val="18"/>
      <w:lang w:val="en-US" w:eastAsia="en-US"/>
    </w:rPr>
  </w:style>
  <w:style w:type="paragraph" w:styleId="En-tte">
    <w:name w:val="header"/>
    <w:basedOn w:val="Normal"/>
    <w:link w:val="En-tteCar"/>
    <w:uiPriority w:val="99"/>
    <w:unhideWhenUsed/>
    <w:rsid w:val="00B60F55"/>
    <w:pPr>
      <w:tabs>
        <w:tab w:val="center" w:pos="4513"/>
        <w:tab w:val="right" w:pos="9026"/>
      </w:tabs>
    </w:pPr>
  </w:style>
  <w:style w:type="character" w:customStyle="1" w:styleId="En-tteCar">
    <w:name w:val="En-tête Car"/>
    <w:basedOn w:val="Policepardfaut"/>
    <w:link w:val="En-tte"/>
    <w:uiPriority w:val="99"/>
    <w:rsid w:val="00B60F55"/>
    <w:rPr>
      <w:sz w:val="24"/>
      <w:szCs w:val="24"/>
      <w:lang w:val="en-US" w:eastAsia="en-US"/>
    </w:rPr>
  </w:style>
  <w:style w:type="paragraph" w:styleId="Pieddepage">
    <w:name w:val="footer"/>
    <w:basedOn w:val="Normal"/>
    <w:link w:val="PieddepageCar"/>
    <w:uiPriority w:val="99"/>
    <w:unhideWhenUsed/>
    <w:rsid w:val="00B60F55"/>
    <w:pPr>
      <w:tabs>
        <w:tab w:val="center" w:pos="4513"/>
        <w:tab w:val="right" w:pos="9026"/>
      </w:tabs>
    </w:pPr>
  </w:style>
  <w:style w:type="character" w:customStyle="1" w:styleId="PieddepageCar">
    <w:name w:val="Pied de page Car"/>
    <w:basedOn w:val="Policepardfaut"/>
    <w:link w:val="Pieddepage"/>
    <w:uiPriority w:val="99"/>
    <w:rsid w:val="00B60F55"/>
    <w:rPr>
      <w:sz w:val="24"/>
      <w:szCs w:val="24"/>
      <w:lang w:val="en-US" w:eastAsia="en-US"/>
    </w:rPr>
  </w:style>
  <w:style w:type="paragraph" w:styleId="Paragraphedeliste">
    <w:name w:val="List Paragraph"/>
    <w:basedOn w:val="Normal"/>
    <w:uiPriority w:val="34"/>
    <w:qFormat/>
    <w:rsid w:val="00E96919"/>
    <w:pPr>
      <w:ind w:left="720"/>
      <w:contextualSpacing/>
    </w:pPr>
  </w:style>
  <w:style w:type="character" w:styleId="Mentionnonrsolue">
    <w:name w:val="Unresolved Mention"/>
    <w:basedOn w:val="Policepardfaut"/>
    <w:uiPriority w:val="99"/>
    <w:semiHidden/>
    <w:unhideWhenUsed/>
    <w:rsid w:val="00B5691C"/>
    <w:rPr>
      <w:color w:val="605E5C"/>
      <w:shd w:val="clear" w:color="auto" w:fill="E1DFDD"/>
    </w:rPr>
  </w:style>
  <w:style w:type="character" w:styleId="lev">
    <w:name w:val="Strong"/>
    <w:basedOn w:val="Policepardfaut"/>
    <w:uiPriority w:val="22"/>
    <w:qFormat/>
    <w:rsid w:val="008D31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6</Pages>
  <Words>2416</Words>
  <Characters>13289</Characters>
  <Application>Microsoft Office Word</Application>
  <DocSecurity>0</DocSecurity>
  <Lines>110</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Meribole</dc:creator>
  <cp:lastModifiedBy>Léna Senghor</cp:lastModifiedBy>
  <cp:revision>7</cp:revision>
  <dcterms:created xsi:type="dcterms:W3CDTF">2023-05-18T10:44:00Z</dcterms:created>
  <dcterms:modified xsi:type="dcterms:W3CDTF">2023-05-18T15:50:00Z</dcterms:modified>
</cp:coreProperties>
</file>